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904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6A0" w:firstRow="1" w:lastRow="0" w:firstColumn="1" w:lastColumn="0" w:noHBand="1" w:noVBand="1"/>
      </w:tblPr>
      <w:tblGrid>
        <w:gridCol w:w="1260"/>
        <w:gridCol w:w="7785"/>
      </w:tblGrid>
      <w:tr w:rsidR="2B4D33E7" w14:paraId="6E80958D" w14:textId="77777777" w:rsidTr="6A91E915">
        <w:trPr>
          <w:trHeight w:val="302"/>
        </w:trPr>
        <w:tc>
          <w:tcPr>
            <w:tcW w:w="1260" w:type="dxa"/>
            <w:vAlign w:val="center"/>
          </w:tcPr>
          <w:p w14:paraId="528C5381" w14:textId="379DA935"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Documento:</w:t>
            </w:r>
          </w:p>
        </w:tc>
        <w:tc>
          <w:tcPr>
            <w:tcW w:w="7785" w:type="dxa"/>
            <w:vAlign w:val="center"/>
          </w:tcPr>
          <w:p w14:paraId="3B56ECDC" w14:textId="265DCE94" w:rsidR="2B4D33E7" w:rsidRDefault="008B61C0"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Índice de Transición Energética 2026</w:t>
            </w:r>
          </w:p>
        </w:tc>
      </w:tr>
      <w:tr w:rsidR="2B4D33E7" w14:paraId="752DC610" w14:textId="77777777" w:rsidTr="6A91E915">
        <w:trPr>
          <w:trHeight w:val="300"/>
        </w:trPr>
        <w:tc>
          <w:tcPr>
            <w:tcW w:w="1260" w:type="dxa"/>
            <w:vAlign w:val="center"/>
          </w:tcPr>
          <w:p w14:paraId="575E7CBF" w14:textId="2A340EB1"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w:t>
            </w:r>
          </w:p>
        </w:tc>
        <w:tc>
          <w:tcPr>
            <w:tcW w:w="7785" w:type="dxa"/>
            <w:vAlign w:val="center"/>
          </w:tcPr>
          <w:p w14:paraId="2DE4DEB9" w14:textId="7958B5CC"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 de Gestión del Sector Eléctrico Colombiano</w:t>
            </w:r>
          </w:p>
        </w:tc>
      </w:tr>
      <w:tr w:rsidR="2B4D33E7" w14:paraId="03DF8AB1" w14:textId="77777777" w:rsidTr="6A91E915">
        <w:trPr>
          <w:trHeight w:val="300"/>
        </w:trPr>
        <w:tc>
          <w:tcPr>
            <w:tcW w:w="1260" w:type="dxa"/>
            <w:vAlign w:val="center"/>
          </w:tcPr>
          <w:p w14:paraId="04908FFB" w14:textId="59B3CACF"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Fecha:</w:t>
            </w:r>
          </w:p>
        </w:tc>
        <w:tc>
          <w:tcPr>
            <w:tcW w:w="7785" w:type="dxa"/>
            <w:vAlign w:val="center"/>
          </w:tcPr>
          <w:p w14:paraId="0F79C694" w14:textId="7E6616E1" w:rsidR="2B4D33E7" w:rsidRDefault="008B61C0"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19</w:t>
            </w:r>
            <w:r w:rsidR="2B4D33E7" w:rsidRPr="6A91E915">
              <w:rPr>
                <w:rFonts w:ascii="Arial" w:eastAsia="Arial" w:hAnsi="Arial" w:cs="Arial"/>
                <w:color w:val="BFBFBF" w:themeColor="background1" w:themeShade="BF"/>
                <w:sz w:val="18"/>
                <w:szCs w:val="18"/>
                <w:lang w:val="es-CO"/>
              </w:rPr>
              <w:t xml:space="preserve"> de </w:t>
            </w:r>
            <w:r>
              <w:rPr>
                <w:rFonts w:ascii="Arial" w:eastAsia="Arial" w:hAnsi="Arial" w:cs="Arial"/>
                <w:color w:val="BFBFBF" w:themeColor="background1" w:themeShade="BF"/>
                <w:sz w:val="18"/>
                <w:szCs w:val="18"/>
                <w:lang w:val="es-CO"/>
              </w:rPr>
              <w:t>junio</w:t>
            </w:r>
            <w:r w:rsidR="2B4D33E7" w:rsidRPr="6A91E915">
              <w:rPr>
                <w:rFonts w:ascii="Arial" w:eastAsia="Arial" w:hAnsi="Arial" w:cs="Arial"/>
                <w:color w:val="BFBFBF" w:themeColor="background1" w:themeShade="BF"/>
                <w:sz w:val="18"/>
                <w:szCs w:val="18"/>
                <w:lang w:val="es-CO"/>
              </w:rPr>
              <w:t xml:space="preserve"> de 20</w:t>
            </w:r>
            <w:r>
              <w:rPr>
                <w:rFonts w:ascii="Arial" w:eastAsia="Arial" w:hAnsi="Arial" w:cs="Arial"/>
                <w:color w:val="BFBFBF" w:themeColor="background1" w:themeShade="BF"/>
                <w:sz w:val="18"/>
                <w:szCs w:val="18"/>
                <w:lang w:val="es-CO"/>
              </w:rPr>
              <w:t>26</w:t>
            </w:r>
          </w:p>
        </w:tc>
      </w:tr>
    </w:tbl>
    <w:p w14:paraId="5FC533C2" w14:textId="75B6839A" w:rsidR="029C20C5" w:rsidRPr="008B61C0" w:rsidRDefault="008B61C0" w:rsidP="620BC7E3">
      <w:pPr>
        <w:pStyle w:val="Ttulo1"/>
        <w:jc w:val="center"/>
        <w:rPr>
          <w:rFonts w:ascii="Aptos" w:eastAsia="Arial" w:hAnsi="Aptos" w:cs="Arial"/>
          <w:b/>
          <w:bCs/>
          <w:color w:val="000000" w:themeColor="text1"/>
          <w:sz w:val="24"/>
          <w:szCs w:val="24"/>
        </w:rPr>
      </w:pPr>
      <w:r w:rsidRPr="008B61C0">
        <w:rPr>
          <w:rFonts w:ascii="Aptos" w:eastAsia="Arial" w:hAnsi="Aptos" w:cs="Arial"/>
          <w:b/>
          <w:bCs/>
          <w:color w:val="000000" w:themeColor="text1"/>
          <w:sz w:val="24"/>
          <w:szCs w:val="24"/>
          <w:lang w:val="es-CO"/>
        </w:rPr>
        <w:t>ANÁLISIS DE LOS RESULTADOS DE COLOMBIA EN EL ENERGY TRANSITION INDEX (ETI) 2026</w:t>
      </w:r>
    </w:p>
    <w:p w14:paraId="15D342FF"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64BDFB43"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 xml:space="preserve">El Energy </w:t>
      </w:r>
      <w:proofErr w:type="spellStart"/>
      <w:r w:rsidRPr="008B61C0">
        <w:rPr>
          <w:rFonts w:ascii="Aptos" w:eastAsia="Times New Roman" w:hAnsi="Aptos" w:cs="Arial"/>
          <w:lang w:eastAsia="es-MX"/>
        </w:rPr>
        <w:t>Transition</w:t>
      </w:r>
      <w:proofErr w:type="spellEnd"/>
      <w:r w:rsidRPr="008B61C0">
        <w:rPr>
          <w:rFonts w:ascii="Aptos" w:eastAsia="Times New Roman" w:hAnsi="Aptos" w:cs="Arial"/>
          <w:lang w:eastAsia="es-MX"/>
        </w:rPr>
        <w:t xml:space="preserve"> </w:t>
      </w:r>
      <w:proofErr w:type="spellStart"/>
      <w:r w:rsidRPr="008B61C0">
        <w:rPr>
          <w:rFonts w:ascii="Aptos" w:eastAsia="Times New Roman" w:hAnsi="Aptos" w:cs="Arial"/>
          <w:lang w:eastAsia="es-MX"/>
        </w:rPr>
        <w:t>Index</w:t>
      </w:r>
      <w:proofErr w:type="spellEnd"/>
      <w:r w:rsidRPr="008B61C0">
        <w:rPr>
          <w:rFonts w:ascii="Aptos" w:eastAsia="Times New Roman" w:hAnsi="Aptos" w:cs="Arial"/>
          <w:lang w:eastAsia="es-MX"/>
        </w:rPr>
        <w:t xml:space="preserve"> (ETI), elaborado por el Foro Económico Mundial, es uno de los principales documentos de referencia internacional para evaluar el avance de los países en materia de transición energética. La edición de junio de 2026 analizó 120 economías a partir de un conjunto de 44 indicadores que permiten evaluar tanto el desempeño actual de los sistemas energéticos como las condiciones necesarias para sostener su transformación en el largo plazo.</w:t>
      </w:r>
    </w:p>
    <w:p w14:paraId="675D363E" w14:textId="77777777" w:rsidR="008B61C0" w:rsidRPr="008B61C0" w:rsidRDefault="008B61C0" w:rsidP="008B61C0">
      <w:pPr>
        <w:spacing w:after="0" w:line="240" w:lineRule="auto"/>
        <w:jc w:val="both"/>
        <w:rPr>
          <w:rFonts w:ascii="Aptos" w:eastAsia="Times New Roman" w:hAnsi="Aptos" w:cs="Arial"/>
          <w:lang w:eastAsia="es-MX"/>
        </w:rPr>
      </w:pPr>
    </w:p>
    <w:p w14:paraId="7DF6E0DB"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La metodología del índice se estructura sobre dos grandes componentes:</w:t>
      </w:r>
    </w:p>
    <w:p w14:paraId="031D26D3" w14:textId="77777777" w:rsidR="008B61C0" w:rsidRPr="008B61C0" w:rsidRDefault="008B61C0" w:rsidP="008B61C0">
      <w:pPr>
        <w:spacing w:after="0" w:line="240" w:lineRule="auto"/>
        <w:jc w:val="both"/>
        <w:rPr>
          <w:rFonts w:ascii="Aptos" w:eastAsia="Times New Roman" w:hAnsi="Aptos" w:cs="Arial"/>
          <w:lang w:eastAsia="es-MX"/>
        </w:rPr>
      </w:pPr>
    </w:p>
    <w:p w14:paraId="10672A79" w14:textId="77777777" w:rsidR="008B61C0" w:rsidRPr="008B61C0" w:rsidRDefault="008B61C0" w:rsidP="008B61C0">
      <w:pPr>
        <w:pStyle w:val="Prrafodelista"/>
        <w:numPr>
          <w:ilvl w:val="0"/>
          <w:numId w:val="10"/>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Desempeño del Sistema Energético (</w:t>
      </w:r>
      <w:proofErr w:type="spellStart"/>
      <w:r w:rsidRPr="008B61C0">
        <w:rPr>
          <w:rFonts w:ascii="Aptos" w:eastAsia="Times New Roman" w:hAnsi="Aptos" w:cs="Arial"/>
          <w:lang w:eastAsia="es-MX"/>
        </w:rPr>
        <w:t>System</w:t>
      </w:r>
      <w:proofErr w:type="spellEnd"/>
      <w:r w:rsidRPr="008B61C0">
        <w:rPr>
          <w:rFonts w:ascii="Aptos" w:eastAsia="Times New Roman" w:hAnsi="Aptos" w:cs="Arial"/>
          <w:lang w:eastAsia="es-MX"/>
        </w:rPr>
        <w:t xml:space="preserve"> Performance), que representa el 60% de la calificación total y evalúa los resultados observados en términos de seguridad energética, equidad y sostenibilidad.</w:t>
      </w:r>
    </w:p>
    <w:p w14:paraId="60D511D0" w14:textId="77777777" w:rsidR="008B61C0" w:rsidRPr="008B61C0" w:rsidRDefault="008B61C0" w:rsidP="008B61C0">
      <w:pPr>
        <w:pStyle w:val="Prrafodelista"/>
        <w:numPr>
          <w:ilvl w:val="0"/>
          <w:numId w:val="10"/>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Preparación para la Transición Energética (</w:t>
      </w:r>
      <w:proofErr w:type="spellStart"/>
      <w:r w:rsidRPr="008B61C0">
        <w:rPr>
          <w:rFonts w:ascii="Aptos" w:eastAsia="Times New Roman" w:hAnsi="Aptos" w:cs="Arial"/>
          <w:lang w:eastAsia="es-MX"/>
        </w:rPr>
        <w:t>Transition</w:t>
      </w:r>
      <w:proofErr w:type="spellEnd"/>
      <w:r w:rsidRPr="008B61C0">
        <w:rPr>
          <w:rFonts w:ascii="Aptos" w:eastAsia="Times New Roman" w:hAnsi="Aptos" w:cs="Arial"/>
          <w:lang w:eastAsia="es-MX"/>
        </w:rPr>
        <w:t xml:space="preserve"> </w:t>
      </w:r>
      <w:proofErr w:type="spellStart"/>
      <w:r w:rsidRPr="008B61C0">
        <w:rPr>
          <w:rFonts w:ascii="Aptos" w:eastAsia="Times New Roman" w:hAnsi="Aptos" w:cs="Arial"/>
          <w:lang w:eastAsia="es-MX"/>
        </w:rPr>
        <w:t>Readiness</w:t>
      </w:r>
      <w:proofErr w:type="spellEnd"/>
      <w:r w:rsidRPr="008B61C0">
        <w:rPr>
          <w:rFonts w:ascii="Aptos" w:eastAsia="Times New Roman" w:hAnsi="Aptos" w:cs="Arial"/>
          <w:lang w:eastAsia="es-MX"/>
        </w:rPr>
        <w:t>), que representa el 40% restante y mide factores habilitantes como regulación, infraestructura, innovación, capital humano y condiciones de financiamiento e inversión.</w:t>
      </w:r>
    </w:p>
    <w:p w14:paraId="69194FB2" w14:textId="77777777" w:rsidR="008B61C0" w:rsidRPr="008B61C0" w:rsidRDefault="008B61C0" w:rsidP="008B61C0">
      <w:pPr>
        <w:spacing w:after="0" w:line="240" w:lineRule="auto"/>
        <w:jc w:val="both"/>
        <w:rPr>
          <w:rFonts w:ascii="Aptos" w:eastAsia="Times New Roman" w:hAnsi="Aptos" w:cs="Arial"/>
          <w:lang w:eastAsia="es-MX"/>
        </w:rPr>
      </w:pPr>
    </w:p>
    <w:p w14:paraId="0B135887"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 xml:space="preserve">En la edición 2026, Colombia obtuvo una calificación de </w:t>
      </w:r>
      <w:r w:rsidRPr="008B61C0">
        <w:rPr>
          <w:rFonts w:ascii="Aptos" w:eastAsia="Times New Roman" w:hAnsi="Aptos" w:cs="Arial"/>
          <w:b/>
          <w:bCs/>
          <w:lang w:eastAsia="es-MX"/>
        </w:rPr>
        <w:t>60,2 puntos</w:t>
      </w:r>
      <w:r w:rsidRPr="008B61C0">
        <w:rPr>
          <w:rFonts w:ascii="Aptos" w:eastAsia="Times New Roman" w:hAnsi="Aptos" w:cs="Arial"/>
          <w:lang w:eastAsia="es-MX"/>
        </w:rPr>
        <w:t>, ubicándose en la posición 43 entre 120 países evaluados y superando el promedio mundial de 57,3 puntos. Sin embargo, el análisis detallado de los componentes del índice muestra resultados diferenciados entre el desempeño actual del sistema energético y la capacidad para sostener la transición energética en el futuro.</w:t>
      </w:r>
    </w:p>
    <w:p w14:paraId="0037E600" w14:textId="77777777" w:rsidR="008B61C0" w:rsidRPr="008B61C0" w:rsidRDefault="008B61C0" w:rsidP="008B61C0">
      <w:pPr>
        <w:spacing w:after="0" w:line="240" w:lineRule="auto"/>
        <w:jc w:val="both"/>
        <w:rPr>
          <w:rFonts w:ascii="Aptos" w:eastAsia="Times New Roman" w:hAnsi="Aptos" w:cs="Arial"/>
          <w:lang w:eastAsia="es-MX"/>
        </w:rPr>
      </w:pPr>
    </w:p>
    <w:p w14:paraId="7B7F2EE4" w14:textId="77777777" w:rsidR="008B61C0" w:rsidRPr="008B61C0" w:rsidRDefault="008B61C0" w:rsidP="008B61C0">
      <w:pPr>
        <w:pStyle w:val="Prrafodelista"/>
        <w:numPr>
          <w:ilvl w:val="0"/>
          <w:numId w:val="11"/>
        </w:numPr>
        <w:spacing w:after="0" w:line="240" w:lineRule="auto"/>
        <w:jc w:val="both"/>
        <w:outlineLvl w:val="0"/>
        <w:rPr>
          <w:rFonts w:ascii="Aptos" w:eastAsia="Times New Roman" w:hAnsi="Aptos" w:cs="Arial"/>
          <w:b/>
          <w:bCs/>
          <w:kern w:val="36"/>
          <w:lang w:eastAsia="es-MX"/>
        </w:rPr>
      </w:pPr>
      <w:r w:rsidRPr="008B61C0">
        <w:rPr>
          <w:rFonts w:ascii="Aptos" w:eastAsia="Times New Roman" w:hAnsi="Aptos" w:cs="Arial"/>
          <w:b/>
          <w:bCs/>
          <w:kern w:val="36"/>
          <w:lang w:eastAsia="es-MX"/>
        </w:rPr>
        <w:t>Desempeño actual del sistema energético (</w:t>
      </w:r>
      <w:proofErr w:type="spellStart"/>
      <w:r w:rsidRPr="008B61C0">
        <w:rPr>
          <w:rFonts w:ascii="Aptos" w:eastAsia="Times New Roman" w:hAnsi="Aptos" w:cs="Arial"/>
          <w:b/>
          <w:bCs/>
          <w:kern w:val="36"/>
          <w:lang w:eastAsia="es-MX"/>
        </w:rPr>
        <w:t>System</w:t>
      </w:r>
      <w:proofErr w:type="spellEnd"/>
      <w:r w:rsidRPr="008B61C0">
        <w:rPr>
          <w:rFonts w:ascii="Aptos" w:eastAsia="Times New Roman" w:hAnsi="Aptos" w:cs="Arial"/>
          <w:b/>
          <w:bCs/>
          <w:kern w:val="36"/>
          <w:lang w:eastAsia="es-MX"/>
        </w:rPr>
        <w:t xml:space="preserve"> Performance)</w:t>
      </w:r>
    </w:p>
    <w:p w14:paraId="5936D711"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27E5812B"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¿Qué evalúa?</w:t>
      </w:r>
    </w:p>
    <w:p w14:paraId="2A9907DE" w14:textId="77777777" w:rsidR="008B61C0" w:rsidRPr="008B61C0" w:rsidRDefault="008B61C0" w:rsidP="008B61C0">
      <w:pPr>
        <w:spacing w:after="0" w:line="240" w:lineRule="auto"/>
        <w:jc w:val="both"/>
        <w:rPr>
          <w:rFonts w:ascii="Aptos" w:eastAsia="Times New Roman" w:hAnsi="Aptos" w:cs="Arial"/>
          <w:lang w:eastAsia="es-MX"/>
        </w:rPr>
      </w:pPr>
    </w:p>
    <w:p w14:paraId="4BCFA0CC"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El componente de desempeño del sistema energético busca medir los resultados observables actuales del sector energético de cada país. Para ello considera tres dimensiones fundamentales:</w:t>
      </w:r>
    </w:p>
    <w:p w14:paraId="77588115" w14:textId="77777777" w:rsidR="008B61C0" w:rsidRPr="008B61C0" w:rsidRDefault="008B61C0" w:rsidP="008B61C0">
      <w:pPr>
        <w:spacing w:after="0" w:line="240" w:lineRule="auto"/>
        <w:jc w:val="both"/>
        <w:rPr>
          <w:rFonts w:ascii="Aptos" w:eastAsia="Times New Roman" w:hAnsi="Aptos" w:cs="Arial"/>
          <w:lang w:eastAsia="es-MX"/>
        </w:rPr>
      </w:pPr>
    </w:p>
    <w:p w14:paraId="195CEDB4" w14:textId="77777777" w:rsidR="008B61C0" w:rsidRPr="008B61C0" w:rsidRDefault="008B61C0" w:rsidP="008B61C0">
      <w:pPr>
        <w:numPr>
          <w:ilvl w:val="0"/>
          <w:numId w:val="5"/>
        </w:numPr>
        <w:spacing w:after="0" w:line="240" w:lineRule="auto"/>
        <w:jc w:val="both"/>
        <w:rPr>
          <w:rFonts w:ascii="Aptos" w:eastAsia="Times New Roman" w:hAnsi="Aptos" w:cs="Arial"/>
          <w:lang w:eastAsia="es-MX"/>
        </w:rPr>
      </w:pPr>
      <w:r w:rsidRPr="008B61C0">
        <w:rPr>
          <w:rFonts w:ascii="Aptos" w:eastAsia="Times New Roman" w:hAnsi="Aptos" w:cs="Arial"/>
          <w:b/>
          <w:bCs/>
          <w:lang w:eastAsia="es-MX"/>
        </w:rPr>
        <w:t>Seguridad energética:</w:t>
      </w:r>
      <w:r w:rsidRPr="008B61C0">
        <w:rPr>
          <w:rFonts w:ascii="Aptos" w:eastAsia="Times New Roman" w:hAnsi="Aptos" w:cs="Arial"/>
          <w:lang w:eastAsia="es-MX"/>
        </w:rPr>
        <w:t xml:space="preserve"> capacidad para garantizar el abastecimiento de energía y la resiliencia del sistema.</w:t>
      </w:r>
    </w:p>
    <w:p w14:paraId="1D17DB99" w14:textId="77777777" w:rsidR="008B61C0" w:rsidRPr="008B61C0" w:rsidRDefault="008B61C0" w:rsidP="008B61C0">
      <w:pPr>
        <w:numPr>
          <w:ilvl w:val="0"/>
          <w:numId w:val="5"/>
        </w:numPr>
        <w:spacing w:after="0" w:line="240" w:lineRule="auto"/>
        <w:jc w:val="both"/>
        <w:rPr>
          <w:rFonts w:ascii="Aptos" w:eastAsia="Times New Roman" w:hAnsi="Aptos" w:cs="Arial"/>
          <w:lang w:eastAsia="es-MX"/>
        </w:rPr>
      </w:pPr>
      <w:r w:rsidRPr="008B61C0">
        <w:rPr>
          <w:rFonts w:ascii="Aptos" w:eastAsia="Times New Roman" w:hAnsi="Aptos" w:cs="Arial"/>
          <w:b/>
          <w:bCs/>
          <w:lang w:eastAsia="es-MX"/>
        </w:rPr>
        <w:t>Equidad energética:</w:t>
      </w:r>
      <w:r w:rsidRPr="008B61C0">
        <w:rPr>
          <w:rFonts w:ascii="Aptos" w:eastAsia="Times New Roman" w:hAnsi="Aptos" w:cs="Arial"/>
          <w:lang w:eastAsia="es-MX"/>
        </w:rPr>
        <w:t xml:space="preserve"> acceso a la energía y condiciones de asequibilidad para hogares y sectores productivos.</w:t>
      </w:r>
    </w:p>
    <w:p w14:paraId="375041D1" w14:textId="77777777" w:rsidR="008B61C0" w:rsidRPr="008B61C0" w:rsidRDefault="008B61C0" w:rsidP="008B61C0">
      <w:pPr>
        <w:numPr>
          <w:ilvl w:val="0"/>
          <w:numId w:val="5"/>
        </w:numPr>
        <w:spacing w:after="0" w:line="240" w:lineRule="auto"/>
        <w:jc w:val="both"/>
        <w:rPr>
          <w:rFonts w:ascii="Aptos" w:eastAsia="Times New Roman" w:hAnsi="Aptos" w:cs="Arial"/>
          <w:lang w:eastAsia="es-MX"/>
        </w:rPr>
      </w:pPr>
      <w:r w:rsidRPr="008B61C0">
        <w:rPr>
          <w:rFonts w:ascii="Aptos" w:eastAsia="Times New Roman" w:hAnsi="Aptos" w:cs="Arial"/>
          <w:b/>
          <w:bCs/>
          <w:lang w:eastAsia="es-MX"/>
        </w:rPr>
        <w:t>Sostenibilidad:</w:t>
      </w:r>
      <w:r w:rsidRPr="008B61C0">
        <w:rPr>
          <w:rFonts w:ascii="Aptos" w:eastAsia="Times New Roman" w:hAnsi="Aptos" w:cs="Arial"/>
          <w:lang w:eastAsia="es-MX"/>
        </w:rPr>
        <w:t xml:space="preserve"> reducción de emisiones, eficiencia energética y participación de fuentes limpias dentro de la matriz energética.</w:t>
      </w:r>
    </w:p>
    <w:p w14:paraId="1CF9C279" w14:textId="77777777" w:rsidR="008B61C0" w:rsidRPr="008B61C0" w:rsidRDefault="008B61C0" w:rsidP="008B61C0">
      <w:pPr>
        <w:spacing w:after="0" w:line="240" w:lineRule="auto"/>
        <w:jc w:val="both"/>
        <w:rPr>
          <w:rFonts w:ascii="Aptos" w:eastAsia="Times New Roman" w:hAnsi="Aptos" w:cs="Arial"/>
          <w:lang w:eastAsia="es-MX"/>
        </w:rPr>
      </w:pPr>
    </w:p>
    <w:p w14:paraId="34A663BD"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lastRenderedPageBreak/>
        <w:t>A diferencia de otros indicadores enfocados en compromisos futuros o metas de política pública, este componente evalúa cómo está funcionando actualmente el sistema energético.</w:t>
      </w:r>
    </w:p>
    <w:p w14:paraId="6E4D23F2"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2068F666"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¿Cómo se encuentra Colombia frente al mundo?</w:t>
      </w:r>
    </w:p>
    <w:p w14:paraId="5396086B" w14:textId="77777777" w:rsidR="008B61C0" w:rsidRDefault="008B61C0" w:rsidP="008B61C0">
      <w:pPr>
        <w:spacing w:after="0" w:line="240" w:lineRule="auto"/>
        <w:jc w:val="both"/>
        <w:rPr>
          <w:rFonts w:ascii="Aptos" w:eastAsia="Times New Roman" w:hAnsi="Aptos" w:cs="Arial"/>
          <w:lang w:eastAsia="es-MX"/>
        </w:rPr>
      </w:pPr>
    </w:p>
    <w:p w14:paraId="75C167B7" w14:textId="2B436568"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Colombia registra una puntuación de 66,6 puntos en desempeño del sistema energético, resultado superior a su puntaje general en el índice (60,2 puntos) y que contribuye significativamente a su ubicación por encima del promedio mundial.</w:t>
      </w:r>
    </w:p>
    <w:p w14:paraId="17B4CE52" w14:textId="77777777" w:rsidR="008B61C0" w:rsidRPr="008B61C0" w:rsidRDefault="008B61C0" w:rsidP="008B61C0">
      <w:pPr>
        <w:spacing w:after="0" w:line="240" w:lineRule="auto"/>
        <w:jc w:val="both"/>
        <w:rPr>
          <w:rFonts w:ascii="Aptos" w:eastAsia="Times New Roman" w:hAnsi="Aptos" w:cs="Arial"/>
          <w:lang w:eastAsia="es-MX"/>
        </w:rPr>
      </w:pPr>
    </w:p>
    <w:p w14:paraId="0E5BD66A"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Estos resultados muestran que el país mantiene condiciones relativamente favorables en términos de funcionamiento del sistema energético, en comparación con numerosas economías que continúan enfrentando desafíos relacionados con la seguridad del suministro, los costos de la energía o la intensidad de emisiones. En este sentido, Colombia conserva ventajas asociadas a la composición de su matriz energética (mayoritariamente hidroeléctrica) y a la consolidación histórica de su sector eléctrico.</w:t>
      </w:r>
    </w:p>
    <w:p w14:paraId="743D63F1"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723000AB"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¿Cómo se encuentra Colombia frente a América Latina?</w:t>
      </w:r>
    </w:p>
    <w:p w14:paraId="3696A485" w14:textId="77777777" w:rsidR="008B61C0" w:rsidRPr="008B61C0" w:rsidRDefault="008B61C0" w:rsidP="008B61C0">
      <w:pPr>
        <w:spacing w:after="0" w:line="240" w:lineRule="auto"/>
        <w:jc w:val="both"/>
        <w:rPr>
          <w:rFonts w:ascii="Aptos" w:eastAsia="Times New Roman" w:hAnsi="Aptos" w:cs="Arial"/>
          <w:lang w:eastAsia="es-MX"/>
        </w:rPr>
      </w:pPr>
    </w:p>
    <w:p w14:paraId="4C325AA8"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Dentro de América Latina, Colombia se ubica en un grupo intermedio-alto de desempeño:</w:t>
      </w:r>
    </w:p>
    <w:p w14:paraId="42CCBECA" w14:textId="77777777" w:rsidR="008B61C0" w:rsidRPr="008B61C0" w:rsidRDefault="008B61C0" w:rsidP="008B61C0">
      <w:pPr>
        <w:spacing w:after="0" w:line="240" w:lineRule="auto"/>
        <w:jc w:val="both"/>
        <w:rPr>
          <w:rFonts w:ascii="Aptos" w:eastAsia="Times New Roman" w:hAnsi="Aptos" w:cs="Arial"/>
          <w:lang w:eastAsia="es-MX"/>
        </w:rPr>
      </w:pPr>
    </w:p>
    <w:tbl>
      <w:tblPr>
        <w:tblW w:w="377" w:type="pct"/>
        <w:jc w:val="center"/>
        <w:tblBorders>
          <w:top w:val="single" w:sz="6" w:space="0" w:color="auto"/>
          <w:left w:val="single" w:sz="6" w:space="0" w:color="auto"/>
          <w:bottom w:val="single" w:sz="6" w:space="0" w:color="auto"/>
          <w:right w:val="single" w:sz="6" w:space="0" w:color="auto"/>
        </w:tblBorders>
        <w:tblCellMar>
          <w:top w:w="160" w:type="dxa"/>
          <w:left w:w="160" w:type="dxa"/>
          <w:bottom w:w="160" w:type="dxa"/>
          <w:right w:w="160" w:type="dxa"/>
        </w:tblCellMar>
        <w:tblLook w:val="04A0" w:firstRow="1" w:lastRow="0" w:firstColumn="1" w:lastColumn="0" w:noHBand="0" w:noVBand="1"/>
      </w:tblPr>
      <w:tblGrid>
        <w:gridCol w:w="1486"/>
        <w:gridCol w:w="1251"/>
      </w:tblGrid>
      <w:tr w:rsidR="008B61C0" w:rsidRPr="008B61C0" w14:paraId="6CF4CFF9" w14:textId="77777777" w:rsidTr="008B61C0">
        <w:trPr>
          <w:trHeight w:val="20"/>
          <w:tblHeader/>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3C02A78" w14:textId="77777777" w:rsidR="008B61C0" w:rsidRPr="008B61C0" w:rsidRDefault="008B61C0" w:rsidP="008B61C0">
            <w:pPr>
              <w:widowControl w:val="0"/>
              <w:spacing w:after="0" w:line="240" w:lineRule="auto"/>
              <w:jc w:val="center"/>
              <w:rPr>
                <w:rFonts w:ascii="Aptos" w:eastAsia="Times New Roman" w:hAnsi="Aptos" w:cs="Arial"/>
                <w:b/>
                <w:bCs/>
                <w:lang w:eastAsia="es-MX"/>
              </w:rPr>
            </w:pPr>
            <w:r w:rsidRPr="008B61C0">
              <w:rPr>
                <w:rFonts w:ascii="Aptos" w:eastAsia="Times New Roman" w:hAnsi="Aptos" w:cs="Arial"/>
                <w:b/>
                <w:bCs/>
                <w:lang w:eastAsia="es-MX"/>
              </w:rPr>
              <w:t>País</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E2A0454" w14:textId="77777777" w:rsidR="008B61C0" w:rsidRPr="008B61C0" w:rsidRDefault="008B61C0" w:rsidP="008B61C0">
            <w:pPr>
              <w:widowControl w:val="0"/>
              <w:spacing w:after="0" w:line="240" w:lineRule="auto"/>
              <w:jc w:val="center"/>
              <w:rPr>
                <w:rFonts w:ascii="Aptos" w:eastAsia="Times New Roman" w:hAnsi="Aptos" w:cs="Arial"/>
                <w:b/>
                <w:bCs/>
                <w:lang w:eastAsia="es-MX"/>
              </w:rPr>
            </w:pPr>
            <w:r w:rsidRPr="008B61C0">
              <w:rPr>
                <w:rFonts w:ascii="Aptos" w:eastAsia="Times New Roman" w:hAnsi="Aptos" w:cs="Arial"/>
                <w:b/>
                <w:bCs/>
                <w:lang w:eastAsia="es-MX"/>
              </w:rPr>
              <w:t>ETI 2026</w:t>
            </w:r>
          </w:p>
        </w:tc>
      </w:tr>
      <w:tr w:rsidR="008B61C0" w:rsidRPr="008B61C0" w14:paraId="4348923A"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6DB6BE9"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Brasil</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AC78510"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66,4</w:t>
            </w:r>
          </w:p>
        </w:tc>
      </w:tr>
      <w:tr w:rsidR="008B61C0" w:rsidRPr="008B61C0" w14:paraId="2A821B1F"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21E85A0"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Chile</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7F91AB2"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65,8</w:t>
            </w:r>
          </w:p>
        </w:tc>
      </w:tr>
      <w:tr w:rsidR="008B61C0" w:rsidRPr="008B61C0" w14:paraId="752E05AF"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C5742DC"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Uruguay</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AACE085"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62,1</w:t>
            </w:r>
          </w:p>
        </w:tc>
      </w:tr>
      <w:tr w:rsidR="008B61C0" w:rsidRPr="008B61C0" w14:paraId="3B4B271C"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19D13B2"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Colombia</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2095694"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60,2</w:t>
            </w:r>
          </w:p>
        </w:tc>
      </w:tr>
      <w:tr w:rsidR="008B61C0" w:rsidRPr="008B61C0" w14:paraId="4D3BA2F5"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D283D1D"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Costa Rica</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BBD6E42"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58,8</w:t>
            </w:r>
          </w:p>
        </w:tc>
      </w:tr>
      <w:tr w:rsidR="008B61C0" w:rsidRPr="008B61C0" w14:paraId="18038910"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3E767B3"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Perú</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F81F792"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58,4</w:t>
            </w:r>
          </w:p>
        </w:tc>
      </w:tr>
      <w:tr w:rsidR="008B61C0" w:rsidRPr="008B61C0" w14:paraId="031984E8"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AADE94D"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Argentina</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CDC1B8B"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57,4</w:t>
            </w:r>
          </w:p>
        </w:tc>
      </w:tr>
      <w:tr w:rsidR="008B61C0" w:rsidRPr="008B61C0" w14:paraId="729599C1" w14:textId="77777777" w:rsidTr="008B61C0">
        <w:trPr>
          <w:trHeight w:val="20"/>
          <w:jc w:val="center"/>
        </w:trPr>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50C70DB"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México</w:t>
            </w:r>
          </w:p>
        </w:tc>
        <w:tc>
          <w:tcPr>
            <w:tcW w:w="2500" w:type="pct"/>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9523A5B" w14:textId="77777777" w:rsidR="008B61C0" w:rsidRPr="008B61C0" w:rsidRDefault="008B61C0" w:rsidP="008B61C0">
            <w:pPr>
              <w:widowControl w:val="0"/>
              <w:spacing w:after="0" w:line="240" w:lineRule="auto"/>
              <w:jc w:val="center"/>
              <w:rPr>
                <w:rFonts w:ascii="Aptos" w:eastAsia="Times New Roman" w:hAnsi="Aptos" w:cs="Arial"/>
                <w:lang w:eastAsia="es-MX"/>
              </w:rPr>
            </w:pPr>
            <w:r w:rsidRPr="008B61C0">
              <w:rPr>
                <w:rFonts w:ascii="Aptos" w:eastAsia="Times New Roman" w:hAnsi="Aptos" w:cs="Arial"/>
                <w:lang w:eastAsia="es-MX"/>
              </w:rPr>
              <w:t>56,5</w:t>
            </w:r>
          </w:p>
        </w:tc>
      </w:tr>
    </w:tbl>
    <w:p w14:paraId="70387E77" w14:textId="77777777" w:rsidR="008B61C0" w:rsidRPr="008B61C0" w:rsidRDefault="008B61C0" w:rsidP="008B61C0">
      <w:pPr>
        <w:spacing w:after="0"/>
        <w:jc w:val="both"/>
        <w:rPr>
          <w:rFonts w:ascii="Aptos" w:hAnsi="Aptos" w:cs="Arial"/>
        </w:rPr>
      </w:pPr>
    </w:p>
    <w:p w14:paraId="42589716"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La comparación regional permite observar que Colombia supera a varias de las principales economías latinoamericanas, aunque aún se encuentra por debajo de países como Brasil, Chile y Uruguay, que han logrado complementar sus fortalezas estructurales con avances más acelerados en infraestructura, inversión y desarrollo de nuevas tecnologías energéticas.</w:t>
      </w:r>
    </w:p>
    <w:p w14:paraId="5BA90A92" w14:textId="77777777" w:rsidR="008B61C0" w:rsidRPr="008B61C0" w:rsidRDefault="008B61C0" w:rsidP="008B61C0">
      <w:pPr>
        <w:spacing w:after="0" w:line="240" w:lineRule="auto"/>
        <w:jc w:val="both"/>
        <w:rPr>
          <w:rFonts w:ascii="Aptos" w:eastAsia="Times New Roman" w:hAnsi="Aptos" w:cs="Arial"/>
          <w:lang w:eastAsia="es-MX"/>
        </w:rPr>
      </w:pPr>
    </w:p>
    <w:p w14:paraId="7F076C3C"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lastRenderedPageBreak/>
        <w:t>No obstante, el resultado colombiano continúa siendo consistente con el desempeño relativamente favorable de América Latina en materia de sostenibilidad. La región presenta uno de los mejores resultados globales en esta dimensión debido a la elevada participación de fuentes renovables dentro de sus matrices energéticas.</w:t>
      </w:r>
    </w:p>
    <w:p w14:paraId="5AD03AE6" w14:textId="77777777" w:rsidR="008B61C0" w:rsidRPr="008B61C0" w:rsidRDefault="008B61C0" w:rsidP="008B61C0">
      <w:pPr>
        <w:spacing w:after="0" w:line="240" w:lineRule="auto"/>
        <w:jc w:val="both"/>
        <w:rPr>
          <w:rFonts w:ascii="Aptos" w:eastAsia="Times New Roman" w:hAnsi="Aptos" w:cs="Arial"/>
          <w:lang w:eastAsia="es-MX"/>
        </w:rPr>
      </w:pPr>
    </w:p>
    <w:p w14:paraId="01706233"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¿Qué explica el resultado colombiano?</w:t>
      </w:r>
    </w:p>
    <w:p w14:paraId="4F73ED6F" w14:textId="77777777" w:rsidR="008B61C0" w:rsidRPr="008B61C0" w:rsidRDefault="008B61C0" w:rsidP="008B61C0">
      <w:pPr>
        <w:spacing w:after="0" w:line="240" w:lineRule="auto"/>
        <w:jc w:val="both"/>
        <w:rPr>
          <w:rFonts w:ascii="Aptos" w:eastAsia="Times New Roman" w:hAnsi="Aptos" w:cs="Arial"/>
          <w:lang w:eastAsia="es-MX"/>
        </w:rPr>
      </w:pPr>
    </w:p>
    <w:p w14:paraId="2D6889ED"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Fortalezas estructurales: </w:t>
      </w:r>
      <w:r w:rsidRPr="008B61C0">
        <w:rPr>
          <w:rFonts w:ascii="Aptos" w:eastAsia="Times New Roman" w:hAnsi="Aptos" w:cs="Arial"/>
          <w:lang w:eastAsia="es-MX"/>
        </w:rPr>
        <w:t>La principal fortaleza del país continúa siendo la composición de su matriz eléctrica.</w:t>
      </w:r>
      <w:r w:rsidRPr="008B61C0">
        <w:rPr>
          <w:rFonts w:ascii="Aptos" w:eastAsia="Times New Roman" w:hAnsi="Aptos" w:cs="Arial"/>
          <w:b/>
          <w:bCs/>
          <w:lang w:eastAsia="es-MX"/>
        </w:rPr>
        <w:t xml:space="preserve"> </w:t>
      </w:r>
      <w:r w:rsidRPr="008B61C0">
        <w:rPr>
          <w:rFonts w:ascii="Aptos" w:eastAsia="Times New Roman" w:hAnsi="Aptos" w:cs="Arial"/>
          <w:lang w:eastAsia="es-MX"/>
        </w:rPr>
        <w:t>La elevada participación histórica de la generación hidroeléctrica ha permitido mantener niveles relativamente bajos de emisiones en comparación con otras economías emergentes y con numerosos países desarrollados que aún dependen significativamente de combustibles fósiles para la generación eléctrica.</w:t>
      </w:r>
    </w:p>
    <w:p w14:paraId="1E801CCC" w14:textId="77777777" w:rsidR="008B61C0" w:rsidRPr="008B61C0" w:rsidRDefault="008B61C0" w:rsidP="008B61C0">
      <w:pPr>
        <w:spacing w:after="0" w:line="240" w:lineRule="auto"/>
        <w:jc w:val="both"/>
        <w:rPr>
          <w:rFonts w:ascii="Aptos" w:eastAsia="Times New Roman" w:hAnsi="Aptos" w:cs="Arial"/>
          <w:lang w:eastAsia="es-MX"/>
        </w:rPr>
      </w:pPr>
    </w:p>
    <w:p w14:paraId="33DD6D77"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De igual manera, la consolidación institucional del sector eléctrico, la existencia de mecanismos de planeación de largo plazo y la operación de un mercado eléctrico mayorista maduro han contribuido históricamente a mantener niveles adecuados de abastecimiento y confiabilidad.</w:t>
      </w:r>
    </w:p>
    <w:p w14:paraId="50BD4047" w14:textId="77777777" w:rsidR="008B61C0" w:rsidRPr="008B61C0" w:rsidRDefault="008B61C0" w:rsidP="008B61C0">
      <w:pPr>
        <w:spacing w:after="0" w:line="240" w:lineRule="auto"/>
        <w:jc w:val="both"/>
        <w:rPr>
          <w:rFonts w:ascii="Aptos" w:eastAsia="Times New Roman" w:hAnsi="Aptos" w:cs="Arial"/>
          <w:lang w:eastAsia="es-MX"/>
        </w:rPr>
      </w:pPr>
    </w:p>
    <w:p w14:paraId="0757B9AA"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Avances recientes: </w:t>
      </w:r>
      <w:r w:rsidRPr="008B61C0">
        <w:rPr>
          <w:rFonts w:ascii="Aptos" w:eastAsia="Times New Roman" w:hAnsi="Aptos" w:cs="Arial"/>
          <w:lang w:eastAsia="es-MX"/>
        </w:rPr>
        <w:t>Uno de los resultados más destacados del ETI 2026 corresponde al crecimiento del indicador de energía limpia.</w:t>
      </w:r>
    </w:p>
    <w:p w14:paraId="4B7A6861" w14:textId="77777777" w:rsidR="008B61C0" w:rsidRPr="008B61C0" w:rsidRDefault="008B61C0" w:rsidP="008B61C0">
      <w:pPr>
        <w:spacing w:after="0" w:line="240" w:lineRule="auto"/>
        <w:jc w:val="both"/>
        <w:rPr>
          <w:rFonts w:ascii="Aptos" w:eastAsia="Times New Roman" w:hAnsi="Aptos" w:cs="Arial"/>
          <w:lang w:eastAsia="es-MX"/>
        </w:rPr>
      </w:pPr>
    </w:p>
    <w:p w14:paraId="32031EDD"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 xml:space="preserve">Colombia registró un incremento de </w:t>
      </w:r>
      <w:r w:rsidRPr="008B61C0">
        <w:rPr>
          <w:rFonts w:ascii="Aptos" w:eastAsia="Times New Roman" w:hAnsi="Aptos" w:cs="Arial"/>
          <w:b/>
          <w:bCs/>
          <w:lang w:eastAsia="es-MX"/>
        </w:rPr>
        <w:t>13,9%</w:t>
      </w:r>
      <w:r w:rsidRPr="008B61C0">
        <w:rPr>
          <w:rFonts w:ascii="Aptos" w:eastAsia="Times New Roman" w:hAnsi="Aptos" w:cs="Arial"/>
          <w:lang w:eastAsia="es-MX"/>
        </w:rPr>
        <w:t>, uno de los mayores avances observados a nivel mundial durante el período analizado. Este resultado estuvo asociado al buen desempeño de la generación hidroeléctrica y a la expansión de la capacidad instalada de fuentes renovables, especialmente la solar.</w:t>
      </w:r>
    </w:p>
    <w:p w14:paraId="3CC3E505" w14:textId="77777777" w:rsidR="008B61C0" w:rsidRPr="008B61C0" w:rsidRDefault="008B61C0" w:rsidP="008B61C0">
      <w:pPr>
        <w:spacing w:after="0" w:line="240" w:lineRule="auto"/>
        <w:jc w:val="both"/>
        <w:rPr>
          <w:rFonts w:ascii="Aptos" w:eastAsia="Times New Roman" w:hAnsi="Aptos" w:cs="Arial"/>
          <w:lang w:eastAsia="es-MX"/>
        </w:rPr>
      </w:pPr>
    </w:p>
    <w:p w14:paraId="4235B766"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Este comportamiento evidencia que los esfuerzos de diversificación de la matriz energética comienzan a reflejarse en los indicadores internacionales, fortaleciendo el posicionamiento del país en materia de sostenibilidad.</w:t>
      </w:r>
    </w:p>
    <w:p w14:paraId="21C9A1F1" w14:textId="77777777" w:rsidR="008B61C0" w:rsidRPr="008B61C0" w:rsidRDefault="008B61C0" w:rsidP="008B61C0">
      <w:pPr>
        <w:spacing w:after="0" w:line="240" w:lineRule="auto"/>
        <w:jc w:val="both"/>
        <w:outlineLvl w:val="2"/>
        <w:rPr>
          <w:rFonts w:ascii="Aptos" w:eastAsia="Times New Roman" w:hAnsi="Aptos" w:cs="Arial"/>
          <w:b/>
          <w:bCs/>
          <w:lang w:eastAsia="es-MX"/>
        </w:rPr>
      </w:pPr>
    </w:p>
    <w:p w14:paraId="4F5664E1"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Retos identificados: </w:t>
      </w:r>
      <w:r w:rsidRPr="008B61C0">
        <w:rPr>
          <w:rFonts w:ascii="Aptos" w:eastAsia="Times New Roman" w:hAnsi="Aptos" w:cs="Arial"/>
          <w:lang w:eastAsia="es-MX"/>
        </w:rPr>
        <w:t>Aunque los resultados actuales son favorables, también se observan desafíos relevantes.</w:t>
      </w:r>
    </w:p>
    <w:p w14:paraId="4068ECC5" w14:textId="77777777" w:rsidR="008B61C0" w:rsidRPr="008B61C0" w:rsidRDefault="008B61C0" w:rsidP="008B61C0">
      <w:pPr>
        <w:spacing w:after="0" w:line="240" w:lineRule="auto"/>
        <w:jc w:val="both"/>
        <w:rPr>
          <w:rFonts w:ascii="Aptos" w:eastAsia="Times New Roman" w:hAnsi="Aptos" w:cs="Arial"/>
          <w:lang w:eastAsia="es-MX"/>
        </w:rPr>
      </w:pPr>
    </w:p>
    <w:p w14:paraId="14502406"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La dependencia de los recursos hídricos continúa generando vulnerabilidades frente a fenómenos climáticos extremos, mientras que la creciente incorporación de energías renovables variables exige mayores niveles de flexibilidad operativa, expansión de redes y fortalecimiento de la infraestructura de transmisión.</w:t>
      </w:r>
    </w:p>
    <w:p w14:paraId="6182C794"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712F6AF4"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Implicaciones para Colombia</w:t>
      </w:r>
    </w:p>
    <w:p w14:paraId="43270BF3" w14:textId="77777777" w:rsidR="008B61C0" w:rsidRPr="008B61C0" w:rsidRDefault="008B61C0" w:rsidP="008B61C0">
      <w:pPr>
        <w:spacing w:after="0" w:line="240" w:lineRule="auto"/>
        <w:jc w:val="both"/>
        <w:rPr>
          <w:rFonts w:ascii="Aptos" w:eastAsia="Times New Roman" w:hAnsi="Aptos" w:cs="Arial"/>
          <w:lang w:eastAsia="es-MX"/>
        </w:rPr>
      </w:pPr>
    </w:p>
    <w:p w14:paraId="4C02461D"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Los resultados muestran que Colombia mantiene ventajas comparativas importantes frente a numerosas economías emergentes y conserva una posición favorable dentro de América Latina.</w:t>
      </w:r>
    </w:p>
    <w:p w14:paraId="0E48A267" w14:textId="77777777" w:rsidR="008B61C0" w:rsidRPr="008B61C0" w:rsidRDefault="008B61C0" w:rsidP="008B61C0">
      <w:pPr>
        <w:spacing w:after="0" w:line="240" w:lineRule="auto"/>
        <w:jc w:val="both"/>
        <w:rPr>
          <w:rFonts w:ascii="Aptos" w:eastAsia="Times New Roman" w:hAnsi="Aptos" w:cs="Arial"/>
          <w:lang w:eastAsia="es-MX"/>
        </w:rPr>
      </w:pPr>
    </w:p>
    <w:p w14:paraId="138AF10F"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Sin embargo, la sostenibilidad de estos resultados dependerá cada vez menos de las características históricas de la matriz energética y cada vez más de la capacidad para desarrollar nueva infraestructura, diversificar las tecnologías de generación y fortalecer la resiliencia del sistema frente a condiciones operativas más complejas.</w:t>
      </w:r>
    </w:p>
    <w:p w14:paraId="630FD2F3" w14:textId="77777777" w:rsidR="008B61C0" w:rsidRPr="008B61C0" w:rsidRDefault="008B61C0" w:rsidP="008B61C0">
      <w:pPr>
        <w:spacing w:after="0" w:line="240" w:lineRule="auto"/>
        <w:jc w:val="both"/>
        <w:outlineLvl w:val="0"/>
        <w:rPr>
          <w:rFonts w:ascii="Aptos" w:eastAsia="Times New Roman" w:hAnsi="Aptos" w:cs="Arial"/>
          <w:lang w:eastAsia="es-MX"/>
        </w:rPr>
      </w:pPr>
    </w:p>
    <w:p w14:paraId="711C9408" w14:textId="77777777" w:rsidR="008B61C0" w:rsidRPr="008B61C0" w:rsidRDefault="008B61C0" w:rsidP="008B61C0">
      <w:pPr>
        <w:spacing w:after="0" w:line="240" w:lineRule="auto"/>
        <w:jc w:val="both"/>
        <w:outlineLvl w:val="0"/>
        <w:rPr>
          <w:rFonts w:ascii="Aptos" w:eastAsia="Times New Roman" w:hAnsi="Aptos" w:cs="Arial"/>
          <w:lang w:eastAsia="es-MX"/>
        </w:rPr>
      </w:pPr>
    </w:p>
    <w:p w14:paraId="7067FC5A" w14:textId="77777777" w:rsidR="008B61C0" w:rsidRPr="008B61C0" w:rsidRDefault="008B61C0" w:rsidP="008B61C0">
      <w:pPr>
        <w:pStyle w:val="Prrafodelista"/>
        <w:numPr>
          <w:ilvl w:val="0"/>
          <w:numId w:val="11"/>
        </w:numPr>
        <w:spacing w:after="0" w:line="240" w:lineRule="auto"/>
        <w:jc w:val="both"/>
        <w:outlineLvl w:val="0"/>
        <w:rPr>
          <w:rFonts w:ascii="Aptos" w:eastAsia="Times New Roman" w:hAnsi="Aptos" w:cs="Arial"/>
          <w:b/>
          <w:bCs/>
          <w:kern w:val="36"/>
          <w:lang w:eastAsia="es-MX"/>
        </w:rPr>
      </w:pPr>
      <w:r w:rsidRPr="008B61C0">
        <w:rPr>
          <w:rFonts w:ascii="Aptos" w:eastAsia="Times New Roman" w:hAnsi="Aptos" w:cs="Arial"/>
          <w:b/>
          <w:bCs/>
          <w:kern w:val="36"/>
          <w:lang w:eastAsia="es-MX"/>
        </w:rPr>
        <w:t>Preparación para la transición energética (</w:t>
      </w:r>
      <w:proofErr w:type="spellStart"/>
      <w:r w:rsidRPr="008B61C0">
        <w:rPr>
          <w:rFonts w:ascii="Aptos" w:eastAsia="Times New Roman" w:hAnsi="Aptos" w:cs="Arial"/>
          <w:b/>
          <w:bCs/>
          <w:kern w:val="36"/>
          <w:lang w:eastAsia="es-MX"/>
        </w:rPr>
        <w:t>Transition</w:t>
      </w:r>
      <w:proofErr w:type="spellEnd"/>
      <w:r w:rsidRPr="008B61C0">
        <w:rPr>
          <w:rFonts w:ascii="Aptos" w:eastAsia="Times New Roman" w:hAnsi="Aptos" w:cs="Arial"/>
          <w:b/>
          <w:bCs/>
          <w:kern w:val="36"/>
          <w:lang w:eastAsia="es-MX"/>
        </w:rPr>
        <w:t xml:space="preserve"> </w:t>
      </w:r>
      <w:proofErr w:type="spellStart"/>
      <w:r w:rsidRPr="008B61C0">
        <w:rPr>
          <w:rFonts w:ascii="Aptos" w:eastAsia="Times New Roman" w:hAnsi="Aptos" w:cs="Arial"/>
          <w:b/>
          <w:bCs/>
          <w:kern w:val="36"/>
          <w:lang w:eastAsia="es-MX"/>
        </w:rPr>
        <w:t>Readiness</w:t>
      </w:r>
      <w:proofErr w:type="spellEnd"/>
      <w:r w:rsidRPr="008B61C0">
        <w:rPr>
          <w:rFonts w:ascii="Aptos" w:eastAsia="Times New Roman" w:hAnsi="Aptos" w:cs="Arial"/>
          <w:b/>
          <w:bCs/>
          <w:kern w:val="36"/>
          <w:lang w:eastAsia="es-MX"/>
        </w:rPr>
        <w:t>)</w:t>
      </w:r>
    </w:p>
    <w:p w14:paraId="6048F5DD"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6A0D1226"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¿Qué evalúa?</w:t>
      </w:r>
    </w:p>
    <w:p w14:paraId="127E271B" w14:textId="77777777" w:rsidR="008B61C0" w:rsidRPr="008B61C0" w:rsidRDefault="008B61C0" w:rsidP="008B61C0">
      <w:pPr>
        <w:spacing w:after="0" w:line="240" w:lineRule="auto"/>
        <w:jc w:val="both"/>
        <w:rPr>
          <w:rFonts w:ascii="Aptos" w:eastAsia="Times New Roman" w:hAnsi="Aptos" w:cs="Arial"/>
          <w:lang w:eastAsia="es-MX"/>
        </w:rPr>
      </w:pPr>
    </w:p>
    <w:p w14:paraId="0CAEEE7C"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La preparación para la transición energética mide la capacidad de un país para sostener y acelerar el proceso de transformación energética en el largo plazo. Para ello evalúa factores habilitantes agrupados en cinco dimensiones:</w:t>
      </w:r>
    </w:p>
    <w:p w14:paraId="2DFFBCF3" w14:textId="77777777" w:rsidR="008B61C0" w:rsidRPr="008B61C0" w:rsidRDefault="008B61C0" w:rsidP="008B61C0">
      <w:pPr>
        <w:spacing w:after="0" w:line="240" w:lineRule="auto"/>
        <w:jc w:val="both"/>
        <w:rPr>
          <w:rFonts w:ascii="Aptos" w:eastAsia="Times New Roman" w:hAnsi="Aptos" w:cs="Arial"/>
          <w:lang w:eastAsia="es-MX"/>
        </w:rPr>
      </w:pPr>
    </w:p>
    <w:p w14:paraId="47008F11" w14:textId="77777777" w:rsidR="008B61C0" w:rsidRPr="008B61C0" w:rsidRDefault="008B61C0" w:rsidP="008B61C0">
      <w:pPr>
        <w:numPr>
          <w:ilvl w:val="0"/>
          <w:numId w:val="7"/>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Regulación y compromiso institucional.</w:t>
      </w:r>
    </w:p>
    <w:p w14:paraId="7B7D6261" w14:textId="77777777" w:rsidR="008B61C0" w:rsidRPr="008B61C0" w:rsidRDefault="008B61C0" w:rsidP="008B61C0">
      <w:pPr>
        <w:numPr>
          <w:ilvl w:val="0"/>
          <w:numId w:val="7"/>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Infraestructura.</w:t>
      </w:r>
    </w:p>
    <w:p w14:paraId="14340FF6" w14:textId="77777777" w:rsidR="008B61C0" w:rsidRPr="008B61C0" w:rsidRDefault="008B61C0" w:rsidP="008B61C0">
      <w:pPr>
        <w:numPr>
          <w:ilvl w:val="0"/>
          <w:numId w:val="7"/>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Finanzas e inversión.</w:t>
      </w:r>
    </w:p>
    <w:p w14:paraId="2C55196C" w14:textId="77777777" w:rsidR="008B61C0" w:rsidRPr="008B61C0" w:rsidRDefault="008B61C0" w:rsidP="008B61C0">
      <w:pPr>
        <w:numPr>
          <w:ilvl w:val="0"/>
          <w:numId w:val="7"/>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Innovación.</w:t>
      </w:r>
    </w:p>
    <w:p w14:paraId="57BD21E5" w14:textId="77777777" w:rsidR="008B61C0" w:rsidRPr="008B61C0" w:rsidRDefault="008B61C0" w:rsidP="008B61C0">
      <w:pPr>
        <w:numPr>
          <w:ilvl w:val="0"/>
          <w:numId w:val="7"/>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Educación y capital humano.</w:t>
      </w:r>
    </w:p>
    <w:p w14:paraId="0DCA29FB" w14:textId="77777777" w:rsidR="008B61C0" w:rsidRPr="008B61C0" w:rsidRDefault="008B61C0" w:rsidP="008B61C0">
      <w:pPr>
        <w:spacing w:after="0" w:line="240" w:lineRule="auto"/>
        <w:jc w:val="both"/>
        <w:rPr>
          <w:rFonts w:ascii="Aptos" w:eastAsia="Times New Roman" w:hAnsi="Aptos" w:cs="Arial"/>
          <w:lang w:eastAsia="es-MX"/>
        </w:rPr>
      </w:pPr>
    </w:p>
    <w:p w14:paraId="1FB94938"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A diferencia del componente anterior, este indicador no mide resultados actuales sino la capacidad futura para desarrollar proyectos, movilizar recursos e implementar transformaciones tecnológicas.</w:t>
      </w:r>
    </w:p>
    <w:p w14:paraId="223AA451"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3EBE6907"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¿Cómo se encuentra Colombia frente al mundo?</w:t>
      </w:r>
    </w:p>
    <w:p w14:paraId="29D014D3" w14:textId="77777777" w:rsidR="008B61C0" w:rsidRPr="008B61C0" w:rsidRDefault="008B61C0" w:rsidP="008B61C0">
      <w:pPr>
        <w:spacing w:after="0" w:line="240" w:lineRule="auto"/>
        <w:jc w:val="both"/>
        <w:rPr>
          <w:rFonts w:ascii="Aptos" w:eastAsia="Times New Roman" w:hAnsi="Aptos" w:cs="Arial"/>
          <w:lang w:eastAsia="es-MX"/>
        </w:rPr>
      </w:pPr>
    </w:p>
    <w:p w14:paraId="2EBBAFFB"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La principal señal de alerta identificada en el ETI 2026 surge de la diferencia existente entre el desempeño actual del sistema energético y la preparación para la transición.</w:t>
      </w:r>
    </w:p>
    <w:p w14:paraId="715AF50A" w14:textId="77777777" w:rsidR="008B61C0" w:rsidRPr="008B61C0" w:rsidRDefault="008B61C0" w:rsidP="008B61C0">
      <w:pPr>
        <w:spacing w:after="0" w:line="240" w:lineRule="auto"/>
        <w:jc w:val="both"/>
        <w:rPr>
          <w:rFonts w:ascii="Aptos" w:eastAsia="Times New Roman" w:hAnsi="Aptos" w:cs="Arial"/>
          <w:lang w:eastAsia="es-MX"/>
        </w:rPr>
      </w:pPr>
    </w:p>
    <w:p w14:paraId="49777E10"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 xml:space="preserve">Mientras el desempeño del sistema alcanza </w:t>
      </w:r>
      <w:r w:rsidRPr="008B61C0">
        <w:rPr>
          <w:rFonts w:ascii="Aptos" w:eastAsia="Times New Roman" w:hAnsi="Aptos" w:cs="Arial"/>
          <w:b/>
          <w:bCs/>
          <w:lang w:eastAsia="es-MX"/>
        </w:rPr>
        <w:t>66,6 puntos</w:t>
      </w:r>
      <w:r w:rsidRPr="008B61C0">
        <w:rPr>
          <w:rFonts w:ascii="Aptos" w:eastAsia="Times New Roman" w:hAnsi="Aptos" w:cs="Arial"/>
          <w:lang w:eastAsia="es-MX"/>
        </w:rPr>
        <w:t xml:space="preserve">, la preparación para la transición registra únicamente </w:t>
      </w:r>
      <w:r w:rsidRPr="008B61C0">
        <w:rPr>
          <w:rFonts w:ascii="Aptos" w:eastAsia="Times New Roman" w:hAnsi="Aptos" w:cs="Arial"/>
          <w:b/>
          <w:bCs/>
          <w:lang w:eastAsia="es-MX"/>
        </w:rPr>
        <w:t>50,6 puntos</w:t>
      </w:r>
      <w:r w:rsidRPr="008B61C0">
        <w:rPr>
          <w:rFonts w:ascii="Aptos" w:eastAsia="Times New Roman" w:hAnsi="Aptos" w:cs="Arial"/>
          <w:lang w:eastAsia="es-MX"/>
        </w:rPr>
        <w:t>, evidenciando una brecha cercana a 16 puntos.</w:t>
      </w:r>
    </w:p>
    <w:p w14:paraId="082C0834" w14:textId="77777777" w:rsidR="008B61C0" w:rsidRPr="008B61C0" w:rsidRDefault="008B61C0" w:rsidP="008B61C0">
      <w:pPr>
        <w:spacing w:after="0" w:line="240" w:lineRule="auto"/>
        <w:jc w:val="both"/>
        <w:rPr>
          <w:rFonts w:ascii="Aptos" w:eastAsia="Times New Roman" w:hAnsi="Aptos" w:cs="Arial"/>
          <w:lang w:eastAsia="es-MX"/>
        </w:rPr>
      </w:pPr>
    </w:p>
    <w:p w14:paraId="1C4364F2"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 xml:space="preserve">Esta diferencia sugiere que las fortalezas actuales del sistema energético no necesariamente se encuentran acompañadas por condiciones habilitantes equivalentes para sostenerlas en el futuro </w:t>
      </w:r>
      <w:proofErr w:type="gramStart"/>
      <w:r w:rsidRPr="008B61C0">
        <w:rPr>
          <w:rFonts w:ascii="Aptos" w:eastAsia="Times New Roman" w:hAnsi="Aptos" w:cs="Arial"/>
          <w:lang w:eastAsia="es-MX"/>
        </w:rPr>
        <w:t>de acuerdo al</w:t>
      </w:r>
      <w:proofErr w:type="gramEnd"/>
      <w:r w:rsidRPr="008B61C0">
        <w:rPr>
          <w:rFonts w:ascii="Aptos" w:eastAsia="Times New Roman" w:hAnsi="Aptos" w:cs="Arial"/>
          <w:lang w:eastAsia="es-MX"/>
        </w:rPr>
        <w:t xml:space="preserve"> ritmo de transformación requerido durante las próximas décadas.</w:t>
      </w:r>
    </w:p>
    <w:p w14:paraId="60845847" w14:textId="77777777" w:rsidR="008B61C0" w:rsidRPr="008B61C0" w:rsidRDefault="008B61C0" w:rsidP="008B61C0">
      <w:pPr>
        <w:spacing w:after="0" w:line="240" w:lineRule="auto"/>
        <w:jc w:val="both"/>
        <w:rPr>
          <w:rFonts w:ascii="Aptos" w:eastAsia="Times New Roman" w:hAnsi="Aptos" w:cs="Arial"/>
          <w:lang w:eastAsia="es-MX"/>
        </w:rPr>
      </w:pPr>
    </w:p>
    <w:p w14:paraId="503B76C1"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A nivel global, este resultado coincide con una tendencia observada en numerosos países. El ETI registra por primera vez en más de una década una disminución en los indicadores de preparación para la transición, reflejando un deterioro en factores relacionados con regulación, inversión e innovación.</w:t>
      </w:r>
    </w:p>
    <w:p w14:paraId="1447B796"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1E5AB76E"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¿Cómo se encuentra Colombia frente a América Latina?</w:t>
      </w:r>
    </w:p>
    <w:p w14:paraId="193BCACF" w14:textId="77777777" w:rsidR="008B61C0" w:rsidRPr="008B61C0" w:rsidRDefault="008B61C0" w:rsidP="008B61C0">
      <w:pPr>
        <w:spacing w:after="0" w:line="240" w:lineRule="auto"/>
        <w:jc w:val="both"/>
        <w:rPr>
          <w:rFonts w:ascii="Aptos" w:eastAsia="Times New Roman" w:hAnsi="Aptos" w:cs="Arial"/>
          <w:lang w:eastAsia="es-MX"/>
        </w:rPr>
      </w:pPr>
    </w:p>
    <w:p w14:paraId="25E0247E"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lastRenderedPageBreak/>
        <w:t xml:space="preserve">El contexto regional resulta particularmente relevante para interpretar los resultados colombianos. América Latina registró una reducción de </w:t>
      </w:r>
      <w:r w:rsidRPr="008B61C0">
        <w:rPr>
          <w:rFonts w:ascii="Aptos" w:eastAsia="Times New Roman" w:hAnsi="Aptos" w:cs="Arial"/>
          <w:b/>
          <w:bCs/>
          <w:lang w:eastAsia="es-MX"/>
        </w:rPr>
        <w:t>2,5%</w:t>
      </w:r>
      <w:r w:rsidRPr="008B61C0">
        <w:rPr>
          <w:rFonts w:ascii="Aptos" w:eastAsia="Times New Roman" w:hAnsi="Aptos" w:cs="Arial"/>
          <w:lang w:eastAsia="es-MX"/>
        </w:rPr>
        <w:t xml:space="preserve"> en los indicadores de preparación para la transición energética, una de las mayores disminuciones observadas entre las regiones evaluadas.</w:t>
      </w:r>
    </w:p>
    <w:p w14:paraId="22E4BF94" w14:textId="77777777" w:rsidR="008B61C0" w:rsidRPr="008B61C0" w:rsidRDefault="008B61C0" w:rsidP="008B61C0">
      <w:pPr>
        <w:spacing w:after="0" w:line="240" w:lineRule="auto"/>
        <w:jc w:val="both"/>
        <w:rPr>
          <w:rFonts w:ascii="Aptos" w:eastAsia="Times New Roman" w:hAnsi="Aptos" w:cs="Arial"/>
          <w:lang w:eastAsia="es-MX"/>
        </w:rPr>
      </w:pPr>
    </w:p>
    <w:p w14:paraId="3C966762"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Los principales retrocesos regionales se concentraron en:</w:t>
      </w:r>
    </w:p>
    <w:p w14:paraId="7108F38A" w14:textId="77777777" w:rsidR="008B61C0" w:rsidRPr="008B61C0" w:rsidRDefault="008B61C0" w:rsidP="008B61C0">
      <w:pPr>
        <w:spacing w:after="0" w:line="240" w:lineRule="auto"/>
        <w:jc w:val="both"/>
        <w:rPr>
          <w:rFonts w:ascii="Aptos" w:eastAsia="Times New Roman" w:hAnsi="Aptos" w:cs="Arial"/>
          <w:lang w:eastAsia="es-MX"/>
        </w:rPr>
      </w:pPr>
    </w:p>
    <w:p w14:paraId="7F73E645" w14:textId="77777777" w:rsidR="008B61C0" w:rsidRPr="008B61C0" w:rsidRDefault="008B61C0" w:rsidP="008B61C0">
      <w:pPr>
        <w:numPr>
          <w:ilvl w:val="0"/>
          <w:numId w:val="8"/>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Infraestructura (-6,1%).</w:t>
      </w:r>
    </w:p>
    <w:p w14:paraId="1C55EFE9" w14:textId="77777777" w:rsidR="008B61C0" w:rsidRPr="008B61C0" w:rsidRDefault="008B61C0" w:rsidP="008B61C0">
      <w:pPr>
        <w:numPr>
          <w:ilvl w:val="0"/>
          <w:numId w:val="8"/>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Innovación (-3,0%).</w:t>
      </w:r>
    </w:p>
    <w:p w14:paraId="27E18773" w14:textId="77777777" w:rsidR="008B61C0" w:rsidRPr="008B61C0" w:rsidRDefault="008B61C0" w:rsidP="008B61C0">
      <w:pPr>
        <w:numPr>
          <w:ilvl w:val="0"/>
          <w:numId w:val="8"/>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Regulación (-2,3%).</w:t>
      </w:r>
    </w:p>
    <w:p w14:paraId="12161D66" w14:textId="77777777" w:rsidR="008B61C0" w:rsidRPr="008B61C0" w:rsidRDefault="008B61C0" w:rsidP="008B61C0">
      <w:pPr>
        <w:numPr>
          <w:ilvl w:val="0"/>
          <w:numId w:val="8"/>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Finanzas e inversión (-1,2%).</w:t>
      </w:r>
    </w:p>
    <w:p w14:paraId="757284A1" w14:textId="77777777" w:rsidR="008B61C0" w:rsidRPr="008B61C0" w:rsidRDefault="008B61C0" w:rsidP="008B61C0">
      <w:pPr>
        <w:spacing w:after="0" w:line="240" w:lineRule="auto"/>
        <w:jc w:val="both"/>
        <w:rPr>
          <w:rFonts w:ascii="Aptos" w:eastAsia="Times New Roman" w:hAnsi="Aptos" w:cs="Arial"/>
          <w:lang w:eastAsia="es-MX"/>
        </w:rPr>
      </w:pPr>
    </w:p>
    <w:p w14:paraId="455705A1"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Estos resultados evidencian que las dificultades observadas en Colombia no constituyen una situación aislada, sino que reflejan desafíos estructurales presentes en buena parte de la región.</w:t>
      </w:r>
    </w:p>
    <w:p w14:paraId="367FD5F8" w14:textId="77777777" w:rsidR="008B61C0" w:rsidRPr="008B61C0" w:rsidRDefault="008B61C0" w:rsidP="008B61C0">
      <w:pPr>
        <w:spacing w:after="0" w:line="240" w:lineRule="auto"/>
        <w:jc w:val="both"/>
        <w:rPr>
          <w:rFonts w:ascii="Aptos" w:eastAsia="Times New Roman" w:hAnsi="Aptos" w:cs="Arial"/>
          <w:lang w:eastAsia="es-MX"/>
        </w:rPr>
      </w:pPr>
    </w:p>
    <w:p w14:paraId="614054D2"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En términos generales, América Latina continúa mostrando fortalezas en sostenibilidad energética, pero enfrenta mayores dificultades para consolidar las condiciones institucionales, financieras y tecnológicas necesarias para acelerar la transición energética.</w:t>
      </w:r>
    </w:p>
    <w:p w14:paraId="7C02F24C"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18165109"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¿Qué explica estos resultados?</w:t>
      </w:r>
    </w:p>
    <w:p w14:paraId="2B2F90AD" w14:textId="77777777" w:rsidR="008B61C0" w:rsidRPr="008B61C0" w:rsidRDefault="008B61C0" w:rsidP="008B61C0">
      <w:pPr>
        <w:spacing w:after="0" w:line="240" w:lineRule="auto"/>
        <w:jc w:val="both"/>
        <w:outlineLvl w:val="2"/>
        <w:rPr>
          <w:rFonts w:ascii="Aptos" w:eastAsia="Times New Roman" w:hAnsi="Aptos" w:cs="Arial"/>
          <w:b/>
          <w:bCs/>
          <w:lang w:eastAsia="es-MX"/>
        </w:rPr>
      </w:pPr>
    </w:p>
    <w:p w14:paraId="5ACDFE7C"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Regulación e institucionalidad: </w:t>
      </w:r>
      <w:r w:rsidRPr="008B61C0">
        <w:rPr>
          <w:rFonts w:ascii="Aptos" w:eastAsia="Times New Roman" w:hAnsi="Aptos" w:cs="Arial"/>
          <w:lang w:eastAsia="es-MX"/>
        </w:rPr>
        <w:t>Se observa una reducción en indicadores asociados a estabilidad regulatoria y compromiso institucional, fenómeno que también afecta a otras economías emergentes.</w:t>
      </w:r>
    </w:p>
    <w:p w14:paraId="2BA8B962" w14:textId="77777777" w:rsidR="008B61C0" w:rsidRPr="008B61C0" w:rsidRDefault="008B61C0" w:rsidP="008B61C0">
      <w:pPr>
        <w:pStyle w:val="Prrafodelista"/>
        <w:spacing w:after="0" w:line="240" w:lineRule="auto"/>
        <w:jc w:val="both"/>
        <w:rPr>
          <w:rFonts w:ascii="Aptos" w:eastAsia="Times New Roman" w:hAnsi="Aptos" w:cs="Arial"/>
          <w:lang w:eastAsia="es-MX"/>
        </w:rPr>
      </w:pPr>
    </w:p>
    <w:p w14:paraId="02DCB262"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La creciente complejidad de los procesos de transición energética exige marcos regulatorios estables y señales claras para la inversión de largo plazo. En este contexto, cualquier percepción de incertidumbre puede afectar negativamente los indicadores de preparación.</w:t>
      </w:r>
    </w:p>
    <w:p w14:paraId="67B3FB8B" w14:textId="77777777" w:rsidR="008B61C0" w:rsidRPr="008B61C0" w:rsidRDefault="008B61C0" w:rsidP="008B61C0">
      <w:pPr>
        <w:pStyle w:val="Prrafodelista"/>
        <w:spacing w:after="0" w:line="240" w:lineRule="auto"/>
        <w:jc w:val="both"/>
        <w:rPr>
          <w:rFonts w:ascii="Aptos" w:eastAsia="Times New Roman" w:hAnsi="Aptos" w:cs="Arial"/>
          <w:lang w:eastAsia="es-MX"/>
        </w:rPr>
      </w:pPr>
    </w:p>
    <w:p w14:paraId="7EC5E833"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Infraestructura: </w:t>
      </w:r>
      <w:r w:rsidRPr="008B61C0">
        <w:rPr>
          <w:rFonts w:ascii="Aptos" w:eastAsia="Times New Roman" w:hAnsi="Aptos" w:cs="Arial"/>
          <w:lang w:eastAsia="es-MX"/>
        </w:rPr>
        <w:t>El informe identifica restricciones que han venido incrementándose y que están asociadas a infraestructura energética, particularmente en redes eléctricas, integración de proyectos renovables y capacidad de adaptación de los sistemas frente a nuevas fuentes de generación y demanda.</w:t>
      </w:r>
    </w:p>
    <w:p w14:paraId="0969E22B" w14:textId="77777777" w:rsidR="008B61C0" w:rsidRPr="008B61C0" w:rsidRDefault="008B61C0" w:rsidP="008B61C0">
      <w:pPr>
        <w:pStyle w:val="Prrafodelista"/>
        <w:spacing w:after="0" w:line="240" w:lineRule="auto"/>
        <w:jc w:val="both"/>
        <w:outlineLvl w:val="2"/>
        <w:rPr>
          <w:rFonts w:ascii="Aptos" w:eastAsia="Times New Roman" w:hAnsi="Aptos" w:cs="Arial"/>
          <w:b/>
          <w:bCs/>
          <w:lang w:eastAsia="es-MX"/>
        </w:rPr>
      </w:pPr>
    </w:p>
    <w:p w14:paraId="3E1645D7"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Para Colombia, este aspecto resulta especialmente relevante considerando los requerimientos de expansión de transmisión necesarios para incorporar nuevos proyectos de generación y atender el crecimiento de la demanda.</w:t>
      </w:r>
    </w:p>
    <w:p w14:paraId="7782281D" w14:textId="77777777" w:rsidR="008B61C0" w:rsidRPr="008B61C0" w:rsidRDefault="008B61C0" w:rsidP="008B61C0">
      <w:pPr>
        <w:pStyle w:val="Prrafodelista"/>
        <w:spacing w:after="0" w:line="240" w:lineRule="auto"/>
        <w:jc w:val="both"/>
        <w:rPr>
          <w:rFonts w:ascii="Aptos" w:eastAsia="Times New Roman" w:hAnsi="Aptos" w:cs="Arial"/>
          <w:lang w:eastAsia="es-MX"/>
        </w:rPr>
      </w:pPr>
    </w:p>
    <w:p w14:paraId="5749C6A9"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Finanzas e inversión: </w:t>
      </w:r>
      <w:r w:rsidRPr="008B61C0">
        <w:rPr>
          <w:rFonts w:ascii="Aptos" w:eastAsia="Times New Roman" w:hAnsi="Aptos" w:cs="Arial"/>
          <w:lang w:eastAsia="es-MX"/>
        </w:rPr>
        <w:t xml:space="preserve">A nivel global se observa una disminución de las condiciones favorables para la inversión, influenciada por mayores costos de </w:t>
      </w:r>
      <w:r w:rsidRPr="008B61C0">
        <w:rPr>
          <w:rFonts w:ascii="Aptos" w:eastAsia="Times New Roman" w:hAnsi="Aptos" w:cs="Arial"/>
          <w:lang w:eastAsia="es-MX"/>
        </w:rPr>
        <w:lastRenderedPageBreak/>
        <w:t>capital, incertidumbre económica y dificultades para convertir los compromisos de transición energética en proyectos efectivamente financiables.</w:t>
      </w:r>
    </w:p>
    <w:p w14:paraId="4457316A" w14:textId="77777777" w:rsidR="008B61C0" w:rsidRPr="008B61C0" w:rsidRDefault="008B61C0" w:rsidP="008B61C0">
      <w:pPr>
        <w:pStyle w:val="Prrafodelista"/>
        <w:spacing w:after="0" w:line="240" w:lineRule="auto"/>
        <w:jc w:val="both"/>
        <w:rPr>
          <w:rFonts w:ascii="Aptos" w:eastAsia="Times New Roman" w:hAnsi="Aptos" w:cs="Arial"/>
          <w:lang w:eastAsia="es-MX"/>
        </w:rPr>
      </w:pPr>
    </w:p>
    <w:p w14:paraId="600F7830"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Esta tendencia tiene impactos particularmente importantes sobre los mercados emergentes, donde la disponibilidad de recursos financieros continúa siendo uno de los principales determinantes del ritmo de transición.</w:t>
      </w:r>
    </w:p>
    <w:p w14:paraId="4C82AA9E" w14:textId="77777777" w:rsidR="008B61C0" w:rsidRPr="008B61C0" w:rsidRDefault="008B61C0" w:rsidP="008B61C0">
      <w:pPr>
        <w:pStyle w:val="Prrafodelista"/>
        <w:spacing w:after="0" w:line="240" w:lineRule="auto"/>
        <w:jc w:val="both"/>
        <w:rPr>
          <w:rFonts w:ascii="Aptos" w:eastAsia="Times New Roman" w:hAnsi="Aptos" w:cs="Arial"/>
          <w:lang w:eastAsia="es-MX"/>
        </w:rPr>
      </w:pPr>
    </w:p>
    <w:p w14:paraId="4BD85FCA" w14:textId="77777777" w:rsidR="008B61C0" w:rsidRPr="008B61C0" w:rsidRDefault="008B61C0" w:rsidP="008B61C0">
      <w:pPr>
        <w:pStyle w:val="Prrafodelista"/>
        <w:numPr>
          <w:ilvl w:val="0"/>
          <w:numId w:val="12"/>
        </w:numPr>
        <w:spacing w:after="0" w:line="240" w:lineRule="auto"/>
        <w:jc w:val="both"/>
        <w:outlineLvl w:val="2"/>
        <w:rPr>
          <w:rFonts w:ascii="Aptos" w:eastAsia="Times New Roman" w:hAnsi="Aptos" w:cs="Arial"/>
          <w:b/>
          <w:bCs/>
          <w:lang w:eastAsia="es-MX"/>
        </w:rPr>
      </w:pPr>
      <w:r w:rsidRPr="008B61C0">
        <w:rPr>
          <w:rFonts w:ascii="Aptos" w:eastAsia="Times New Roman" w:hAnsi="Aptos" w:cs="Arial"/>
          <w:b/>
          <w:bCs/>
          <w:lang w:eastAsia="es-MX"/>
        </w:rPr>
        <w:t xml:space="preserve">Innovación y capital humano: </w:t>
      </w:r>
      <w:r w:rsidRPr="008B61C0">
        <w:rPr>
          <w:rFonts w:ascii="Aptos" w:eastAsia="Times New Roman" w:hAnsi="Aptos" w:cs="Arial"/>
          <w:lang w:eastAsia="es-MX"/>
        </w:rPr>
        <w:t>La transición energética requiere capacidades tecnológicas, desarrollo de conocimiento especializado y fortalecimiento de cadenas de valor asociadas a nuevas tecnologías.</w:t>
      </w:r>
    </w:p>
    <w:p w14:paraId="46DFB3E8" w14:textId="77777777" w:rsidR="008B61C0" w:rsidRPr="008B61C0" w:rsidRDefault="008B61C0" w:rsidP="008B61C0">
      <w:pPr>
        <w:pStyle w:val="Prrafodelista"/>
        <w:spacing w:after="0" w:line="240" w:lineRule="auto"/>
        <w:jc w:val="both"/>
        <w:rPr>
          <w:rFonts w:ascii="Aptos" w:eastAsia="Times New Roman" w:hAnsi="Aptos" w:cs="Arial"/>
          <w:lang w:eastAsia="es-MX"/>
        </w:rPr>
      </w:pPr>
    </w:p>
    <w:p w14:paraId="0F0597DC" w14:textId="77777777" w:rsidR="008B61C0" w:rsidRPr="008B61C0" w:rsidRDefault="008B61C0" w:rsidP="008B61C0">
      <w:pPr>
        <w:pStyle w:val="Prrafodelista"/>
        <w:spacing w:after="0" w:line="240" w:lineRule="auto"/>
        <w:jc w:val="both"/>
        <w:rPr>
          <w:rFonts w:ascii="Aptos" w:eastAsia="Times New Roman" w:hAnsi="Aptos" w:cs="Arial"/>
          <w:lang w:eastAsia="es-MX"/>
        </w:rPr>
      </w:pPr>
      <w:r w:rsidRPr="008B61C0">
        <w:rPr>
          <w:rFonts w:ascii="Aptos" w:eastAsia="Times New Roman" w:hAnsi="Aptos" w:cs="Arial"/>
          <w:lang w:eastAsia="es-MX"/>
        </w:rPr>
        <w:t>Los resultados regionales muestran que América Latina continúa enfrentando rezagos frente a economías avanzadas en estas dimensiones, limitando la velocidad de adopción y escalamiento de nuevas soluciones energéticas.</w:t>
      </w:r>
    </w:p>
    <w:p w14:paraId="649F9ED3" w14:textId="77777777" w:rsidR="008B61C0" w:rsidRPr="008B61C0" w:rsidRDefault="008B61C0" w:rsidP="008B61C0">
      <w:pPr>
        <w:spacing w:after="0" w:line="240" w:lineRule="auto"/>
        <w:jc w:val="both"/>
        <w:outlineLvl w:val="1"/>
        <w:rPr>
          <w:rFonts w:ascii="Aptos" w:eastAsia="Times New Roman" w:hAnsi="Aptos" w:cs="Arial"/>
          <w:b/>
          <w:bCs/>
          <w:lang w:eastAsia="es-MX"/>
        </w:rPr>
      </w:pPr>
    </w:p>
    <w:p w14:paraId="5A9CDE91" w14:textId="77777777" w:rsidR="008B61C0" w:rsidRPr="008B61C0" w:rsidRDefault="008B61C0" w:rsidP="008B61C0">
      <w:pPr>
        <w:spacing w:after="0" w:line="240" w:lineRule="auto"/>
        <w:jc w:val="both"/>
        <w:outlineLvl w:val="1"/>
        <w:rPr>
          <w:rFonts w:ascii="Aptos" w:eastAsia="Times New Roman" w:hAnsi="Aptos" w:cs="Arial"/>
          <w:b/>
          <w:bCs/>
          <w:lang w:eastAsia="es-MX"/>
        </w:rPr>
      </w:pPr>
      <w:r w:rsidRPr="008B61C0">
        <w:rPr>
          <w:rFonts w:ascii="Aptos" w:eastAsia="Times New Roman" w:hAnsi="Aptos" w:cs="Arial"/>
          <w:b/>
          <w:bCs/>
          <w:lang w:eastAsia="es-MX"/>
        </w:rPr>
        <w:t>Implicaciones para Colombia</w:t>
      </w:r>
    </w:p>
    <w:p w14:paraId="4F133951" w14:textId="77777777" w:rsidR="008B61C0" w:rsidRPr="008B61C0" w:rsidRDefault="008B61C0" w:rsidP="008B61C0">
      <w:pPr>
        <w:spacing w:after="0" w:line="240" w:lineRule="auto"/>
        <w:jc w:val="both"/>
        <w:rPr>
          <w:rFonts w:ascii="Aptos" w:eastAsia="Times New Roman" w:hAnsi="Aptos" w:cs="Arial"/>
          <w:lang w:eastAsia="es-MX"/>
        </w:rPr>
      </w:pPr>
    </w:p>
    <w:p w14:paraId="2F8AADB2"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La principal conclusión derivada de este componente es que el desafío para Colombia no radica exclusivamente en mantener los resultados actuales del sistema energético, sino en fortalecer las condiciones que permitirán sostener dichos resultados en el futuro.</w:t>
      </w:r>
    </w:p>
    <w:p w14:paraId="76365443" w14:textId="77777777" w:rsidR="008B61C0" w:rsidRPr="008B61C0" w:rsidRDefault="008B61C0" w:rsidP="008B61C0">
      <w:pPr>
        <w:spacing w:after="0" w:line="240" w:lineRule="auto"/>
        <w:jc w:val="both"/>
        <w:rPr>
          <w:rFonts w:ascii="Aptos" w:eastAsia="Times New Roman" w:hAnsi="Aptos" w:cs="Arial"/>
          <w:lang w:eastAsia="es-MX"/>
        </w:rPr>
      </w:pPr>
    </w:p>
    <w:p w14:paraId="7404BA8F" w14:textId="1384BE6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En este contexto, aspectos como la expansión de redes, la reducción de incertidumbres regulatorias, la movilización de inversión privada, el fortalecimiento institucional y el desarrollo de capacidades tecnológicas adquieren una importancia estratégica.</w:t>
      </w:r>
    </w:p>
    <w:p w14:paraId="7475E2B4" w14:textId="77777777" w:rsidR="008B61C0" w:rsidRPr="008B61C0" w:rsidRDefault="008B61C0" w:rsidP="008B61C0">
      <w:pPr>
        <w:spacing w:after="0"/>
        <w:jc w:val="both"/>
        <w:rPr>
          <w:rFonts w:ascii="Aptos" w:hAnsi="Aptos" w:cs="Arial"/>
        </w:rPr>
      </w:pPr>
    </w:p>
    <w:p w14:paraId="6986FCAA" w14:textId="22E64AD7" w:rsidR="008B61C0" w:rsidRPr="008B61C0" w:rsidRDefault="008B61C0" w:rsidP="008B61C0">
      <w:pPr>
        <w:pStyle w:val="Prrafodelista"/>
        <w:numPr>
          <w:ilvl w:val="0"/>
          <w:numId w:val="11"/>
        </w:numPr>
        <w:spacing w:after="0" w:line="240" w:lineRule="auto"/>
        <w:jc w:val="both"/>
        <w:outlineLvl w:val="0"/>
        <w:rPr>
          <w:rFonts w:ascii="Aptos" w:eastAsia="Times New Roman" w:hAnsi="Aptos" w:cs="Arial"/>
          <w:b/>
          <w:bCs/>
          <w:kern w:val="36"/>
          <w:lang w:eastAsia="es-MX"/>
        </w:rPr>
      </w:pPr>
      <w:r w:rsidRPr="008B61C0">
        <w:rPr>
          <w:rFonts w:ascii="Aptos" w:eastAsia="Times New Roman" w:hAnsi="Aptos" w:cs="Arial"/>
          <w:b/>
          <w:bCs/>
          <w:kern w:val="36"/>
          <w:lang w:eastAsia="es-MX"/>
        </w:rPr>
        <w:t>Conclusiones</w:t>
      </w:r>
    </w:p>
    <w:p w14:paraId="7A97E789" w14:textId="77777777" w:rsidR="008B61C0" w:rsidRPr="008B61C0" w:rsidRDefault="008B61C0" w:rsidP="008B61C0">
      <w:pPr>
        <w:spacing w:after="0" w:line="240" w:lineRule="auto"/>
        <w:jc w:val="both"/>
        <w:rPr>
          <w:rFonts w:ascii="Aptos" w:eastAsia="Times New Roman" w:hAnsi="Aptos" w:cs="Arial"/>
          <w:lang w:eastAsia="es-MX"/>
        </w:rPr>
      </w:pPr>
    </w:p>
    <w:p w14:paraId="309A748C" w14:textId="77777777" w:rsidR="008B61C0" w:rsidRPr="008B61C0" w:rsidRDefault="008B61C0" w:rsidP="008B61C0">
      <w:pPr>
        <w:spacing w:after="0" w:line="240" w:lineRule="auto"/>
        <w:jc w:val="both"/>
        <w:rPr>
          <w:rFonts w:ascii="Aptos" w:eastAsia="Times New Roman" w:hAnsi="Aptos" w:cs="Arial"/>
          <w:lang w:eastAsia="es-MX"/>
        </w:rPr>
      </w:pPr>
      <w:r w:rsidRPr="008B61C0">
        <w:rPr>
          <w:rFonts w:ascii="Aptos" w:eastAsia="Times New Roman" w:hAnsi="Aptos" w:cs="Arial"/>
          <w:lang w:eastAsia="es-MX"/>
        </w:rPr>
        <w:t>Los resultados del ETI 2026 muestran una situación dual para Colombia. Por una parte, el país mantiene un desempeño favorable en el funcionamiento actual de su sistema energético, apoyado en una matriz eléctrica con alta participación de fuentes renovables y en avances significativos en energía limpia. Por otra parte, se observa una brecha importante en los factores habilitantes necesarios para sostener la transición energética en el largo plazo. Los principales desafíos se concentran en infraestructura, regulación, innovación y condiciones de inversión.</w:t>
      </w:r>
    </w:p>
    <w:p w14:paraId="3075E96A" w14:textId="77777777" w:rsidR="008B61C0" w:rsidRPr="008B61C0" w:rsidRDefault="008B61C0" w:rsidP="008B61C0">
      <w:pPr>
        <w:spacing w:after="0"/>
        <w:jc w:val="both"/>
        <w:rPr>
          <w:rFonts w:ascii="Aptos" w:hAnsi="Aptos" w:cs="Arial"/>
        </w:rPr>
      </w:pPr>
    </w:p>
    <w:p w14:paraId="36885715" w14:textId="039E4324" w:rsidR="008B61C0" w:rsidRPr="008B61C0" w:rsidRDefault="008B61C0" w:rsidP="008B61C0">
      <w:pPr>
        <w:pStyle w:val="Prrafodelista"/>
        <w:numPr>
          <w:ilvl w:val="0"/>
          <w:numId w:val="11"/>
        </w:numPr>
        <w:spacing w:after="0" w:line="240" w:lineRule="auto"/>
        <w:jc w:val="both"/>
        <w:rPr>
          <w:rFonts w:ascii="Aptos" w:eastAsia="Times New Roman" w:hAnsi="Aptos" w:cs="Arial"/>
          <w:b/>
          <w:bCs/>
          <w:lang w:eastAsia="es-MX"/>
        </w:rPr>
      </w:pPr>
      <w:r w:rsidRPr="008B61C0">
        <w:rPr>
          <w:rFonts w:ascii="Aptos" w:eastAsia="Times New Roman" w:hAnsi="Aptos" w:cs="Arial"/>
          <w:b/>
          <w:bCs/>
          <w:lang w:eastAsia="es-MX"/>
        </w:rPr>
        <w:t>Mensajes clave</w:t>
      </w:r>
    </w:p>
    <w:p w14:paraId="6B83176C" w14:textId="77777777" w:rsidR="008B61C0" w:rsidRPr="008B61C0" w:rsidRDefault="008B61C0" w:rsidP="008B61C0">
      <w:pPr>
        <w:spacing w:after="0" w:line="240" w:lineRule="auto"/>
        <w:jc w:val="both"/>
        <w:rPr>
          <w:rFonts w:ascii="Aptos" w:eastAsia="Times New Roman" w:hAnsi="Aptos" w:cs="Arial"/>
          <w:lang w:eastAsia="es-MX"/>
        </w:rPr>
      </w:pPr>
    </w:p>
    <w:p w14:paraId="278196B9" w14:textId="77777777" w:rsidR="008B61C0" w:rsidRPr="008B61C0" w:rsidRDefault="008B61C0" w:rsidP="008B61C0">
      <w:pPr>
        <w:numPr>
          <w:ilvl w:val="0"/>
          <w:numId w:val="6"/>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Colombia presenta un desempeño energético superior al promedio mundial.</w:t>
      </w:r>
    </w:p>
    <w:p w14:paraId="318005BC" w14:textId="77777777" w:rsidR="008B61C0" w:rsidRPr="008B61C0" w:rsidRDefault="008B61C0" w:rsidP="008B61C0">
      <w:pPr>
        <w:numPr>
          <w:ilvl w:val="0"/>
          <w:numId w:val="6"/>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La matriz eléctrica, dada su vocación renovable, continúa siendo una de las principales fortalezas estructurales del país.</w:t>
      </w:r>
    </w:p>
    <w:p w14:paraId="1768BE90" w14:textId="77777777" w:rsidR="008B61C0" w:rsidRPr="008B61C0" w:rsidRDefault="008B61C0" w:rsidP="008B61C0">
      <w:pPr>
        <w:numPr>
          <w:ilvl w:val="0"/>
          <w:numId w:val="6"/>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El crecimiento de la energía limpia constituye uno de los resultados más positivos de la evaluación.</w:t>
      </w:r>
    </w:p>
    <w:p w14:paraId="286355CF" w14:textId="77777777" w:rsidR="008B61C0" w:rsidRPr="008B61C0" w:rsidRDefault="008B61C0" w:rsidP="008B61C0">
      <w:pPr>
        <w:numPr>
          <w:ilvl w:val="0"/>
          <w:numId w:val="6"/>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Los retos futuros estarán asociados principalmente a la diversificación tecnológica y al fortalecimiento de la infraestructura.</w:t>
      </w:r>
    </w:p>
    <w:p w14:paraId="05DFA238" w14:textId="77777777" w:rsidR="008B61C0" w:rsidRPr="008B61C0" w:rsidRDefault="008B61C0" w:rsidP="008B61C0">
      <w:pPr>
        <w:numPr>
          <w:ilvl w:val="0"/>
          <w:numId w:val="9"/>
        </w:numPr>
        <w:spacing w:after="0" w:line="240" w:lineRule="auto"/>
        <w:jc w:val="both"/>
        <w:rPr>
          <w:rFonts w:ascii="Aptos" w:eastAsia="Times New Roman" w:hAnsi="Aptos" w:cs="Arial"/>
          <w:lang w:eastAsia="es-MX"/>
        </w:rPr>
      </w:pPr>
      <w:r w:rsidRPr="008B61C0">
        <w:rPr>
          <w:rFonts w:ascii="Aptos" w:eastAsia="Times New Roman" w:hAnsi="Aptos" w:cs="Arial"/>
          <w:lang w:eastAsia="es-MX"/>
        </w:rPr>
        <w:lastRenderedPageBreak/>
        <w:t>Los desafíos observados en Colombia son consistentes con tendencias regionales observadas en América Latina.</w:t>
      </w:r>
    </w:p>
    <w:p w14:paraId="6F5F04C6" w14:textId="77777777" w:rsidR="008B61C0" w:rsidRPr="008B61C0" w:rsidRDefault="008B61C0" w:rsidP="008B61C0">
      <w:pPr>
        <w:numPr>
          <w:ilvl w:val="0"/>
          <w:numId w:val="9"/>
        </w:numPr>
        <w:spacing w:after="0" w:line="240" w:lineRule="auto"/>
        <w:jc w:val="both"/>
        <w:rPr>
          <w:rFonts w:ascii="Aptos" w:eastAsia="Times New Roman" w:hAnsi="Aptos" w:cs="Arial"/>
          <w:lang w:eastAsia="es-MX"/>
        </w:rPr>
      </w:pPr>
      <w:r w:rsidRPr="008B61C0">
        <w:rPr>
          <w:rFonts w:ascii="Aptos" w:eastAsia="Times New Roman" w:hAnsi="Aptos" w:cs="Arial"/>
          <w:lang w:eastAsia="es-MX"/>
        </w:rPr>
        <w:t>Infraestructura, regulación, innovación y financiamiento constituyen los principales factores que explican la desaceleración de Colombia frente a la preparación para la transición energética, y el fortalecimiento de estos componentes será determinante para consolidar los avances alcanzados en materia de transición energética.</w:t>
      </w:r>
    </w:p>
    <w:p w14:paraId="2B47163E" w14:textId="77777777" w:rsidR="008B61C0" w:rsidRPr="008B61C0" w:rsidRDefault="008B61C0" w:rsidP="008B61C0">
      <w:pPr>
        <w:spacing w:after="0"/>
        <w:jc w:val="both"/>
        <w:rPr>
          <w:rFonts w:ascii="Aptos" w:hAnsi="Aptos" w:cs="Arial"/>
        </w:rPr>
      </w:pPr>
    </w:p>
    <w:p w14:paraId="6281F551" w14:textId="1251B3A2" w:rsidR="00A00D01" w:rsidRDefault="00A00D01" w:rsidP="6B2A584D">
      <w:pPr>
        <w:keepNext/>
        <w:keepLines/>
        <w:spacing w:after="0"/>
        <w:jc w:val="both"/>
        <w:rPr>
          <w:lang w:val="es-CO"/>
        </w:rPr>
      </w:pPr>
    </w:p>
    <w:sectPr w:rsidR="00A00D0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A972" w14:textId="77777777" w:rsidR="00EE2458" w:rsidRDefault="00EE2458">
      <w:pPr>
        <w:spacing w:after="0" w:line="240" w:lineRule="auto"/>
      </w:pPr>
      <w:r>
        <w:separator/>
      </w:r>
    </w:p>
  </w:endnote>
  <w:endnote w:type="continuationSeparator" w:id="0">
    <w:p w14:paraId="6038313B" w14:textId="77777777" w:rsidR="00EE2458" w:rsidRDefault="00EE2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3308" w14:textId="5CC988A1" w:rsidR="38D067BE" w:rsidRDefault="38D067BE" w:rsidP="38D067BE">
    <w:pPr>
      <w:pStyle w:val="Piedepgina"/>
      <w:jc w:val="right"/>
      <w:rPr>
        <w:i/>
        <w:iCs/>
        <w:color w:val="808080" w:themeColor="background1" w:themeShade="80"/>
        <w:sz w:val="16"/>
        <w:szCs w:val="16"/>
      </w:rPr>
    </w:pPr>
    <w:r w:rsidRPr="38D067BE">
      <w:rPr>
        <w:i/>
        <w:iCs/>
        <w:color w:val="808080" w:themeColor="background1" w:themeShade="80"/>
        <w:sz w:val="18"/>
        <w:szCs w:val="18"/>
      </w:rPr>
      <w:t>Grupo de Gestión del Sector Eléctrico Colombiano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8F500" w14:textId="77777777" w:rsidR="00EE2458" w:rsidRDefault="00EE2458">
      <w:pPr>
        <w:spacing w:after="0" w:line="240" w:lineRule="auto"/>
      </w:pPr>
      <w:r>
        <w:separator/>
      </w:r>
    </w:p>
  </w:footnote>
  <w:footnote w:type="continuationSeparator" w:id="0">
    <w:p w14:paraId="23B40F5E" w14:textId="77777777" w:rsidR="00EE2458" w:rsidRDefault="00EE24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7EE6" w14:textId="2A196E46" w:rsidR="6B2A584D" w:rsidRDefault="6B2A584D" w:rsidP="6B2A584D">
    <w:pPr>
      <w:pStyle w:val="Encabezado"/>
      <w:jc w:val="center"/>
    </w:pPr>
    <w:r>
      <w:rPr>
        <w:noProof/>
      </w:rPr>
      <w:drawing>
        <wp:anchor distT="0" distB="0" distL="114300" distR="114300" simplePos="0" relativeHeight="251658240" behindDoc="0" locked="0" layoutInCell="1" allowOverlap="1" wp14:anchorId="3A2CDDDE" wp14:editId="368CD79F">
          <wp:simplePos x="0" y="0"/>
          <wp:positionH relativeFrom="column">
            <wp:posOffset>2486025</wp:posOffset>
          </wp:positionH>
          <wp:positionV relativeFrom="paragraph">
            <wp:posOffset>-171450</wp:posOffset>
          </wp:positionV>
          <wp:extent cx="723900" cy="628650"/>
          <wp:effectExtent l="0" t="0" r="0" b="0"/>
          <wp:wrapNone/>
          <wp:docPr id="1675301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01801" name="Picture 1675301801"/>
                  <pic:cNvPicPr/>
                </pic:nvPicPr>
                <pic:blipFill>
                  <a:blip r:embed="rId1">
                    <a:extLst>
                      <a:ext uri="{28A0092B-C50C-407E-A947-70E740481C1C}">
                        <a14:useLocalDpi xmlns:a14="http://schemas.microsoft.com/office/drawing/2010/main"/>
                      </a:ext>
                    </a:extLst>
                  </a:blip>
                  <a:stretch>
                    <a:fillRect/>
                  </a:stretch>
                </pic:blipFill>
                <pic:spPr>
                  <a:xfrm>
                    <a:off x="0" y="0"/>
                    <a:ext cx="723900" cy="628650"/>
                  </a:xfrm>
                  <a:prstGeom prst="rect">
                    <a:avLst/>
                  </a:prstGeom>
                </pic:spPr>
              </pic:pic>
            </a:graphicData>
          </a:graphic>
          <wp14:sizeRelH relativeFrom="page">
            <wp14:pctWidth>0</wp14:pctWidth>
          </wp14:sizeRelH>
          <wp14:sizeRelV relativeFrom="page">
            <wp14:pctHeight>0</wp14:pctHeight>
          </wp14:sizeRelV>
        </wp:anchor>
      </w:drawing>
    </w:r>
  </w:p>
  <w:p w14:paraId="45E08D83" w14:textId="193F2EDB" w:rsidR="38D067BE" w:rsidRDefault="38D067BE" w:rsidP="38D067BE">
    <w:pPr>
      <w:pStyle w:val="Encabezado"/>
      <w:jc w:val="center"/>
    </w:pPr>
  </w:p>
  <w:p w14:paraId="413EC04D" w14:textId="7186C7FF" w:rsidR="38D067BE" w:rsidRDefault="38D067BE" w:rsidP="38D067BE">
    <w:pPr>
      <w:pStyle w:val="Encabezado"/>
      <w:jc w:val="center"/>
    </w:pPr>
  </w:p>
  <w:p w14:paraId="6A531C7B" w14:textId="77777777" w:rsidR="0048610E" w:rsidRDefault="0048610E" w:rsidP="38D067B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FA5C"/>
    <w:multiLevelType w:val="multilevel"/>
    <w:tmpl w:val="B4F0C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347E3B"/>
    <w:multiLevelType w:val="multilevel"/>
    <w:tmpl w:val="CC10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25CF9"/>
    <w:multiLevelType w:val="multilevel"/>
    <w:tmpl w:val="0370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0B0BFC"/>
    <w:multiLevelType w:val="hybridMultilevel"/>
    <w:tmpl w:val="B32C431C"/>
    <w:lvl w:ilvl="0" w:tplc="FD228FFE">
      <w:start w:val="1"/>
      <w:numFmt w:val="bullet"/>
      <w:lvlText w:val=""/>
      <w:lvlJc w:val="left"/>
      <w:pPr>
        <w:ind w:left="720" w:hanging="360"/>
      </w:pPr>
      <w:rPr>
        <w:rFonts w:ascii="Symbol" w:hAnsi="Symbol" w:hint="default"/>
      </w:rPr>
    </w:lvl>
    <w:lvl w:ilvl="1" w:tplc="A7DAEFD8">
      <w:start w:val="1"/>
      <w:numFmt w:val="bullet"/>
      <w:lvlText w:val="o"/>
      <w:lvlJc w:val="left"/>
      <w:pPr>
        <w:ind w:left="1440" w:hanging="360"/>
      </w:pPr>
      <w:rPr>
        <w:rFonts w:ascii="Courier New" w:hAnsi="Courier New" w:hint="default"/>
      </w:rPr>
    </w:lvl>
    <w:lvl w:ilvl="2" w:tplc="B9F09C06">
      <w:start w:val="1"/>
      <w:numFmt w:val="bullet"/>
      <w:lvlText w:val=""/>
      <w:lvlJc w:val="left"/>
      <w:pPr>
        <w:ind w:left="2160" w:hanging="360"/>
      </w:pPr>
      <w:rPr>
        <w:rFonts w:ascii="Wingdings" w:hAnsi="Wingdings" w:hint="default"/>
      </w:rPr>
    </w:lvl>
    <w:lvl w:ilvl="3" w:tplc="0D00FF54">
      <w:start w:val="1"/>
      <w:numFmt w:val="bullet"/>
      <w:lvlText w:val=""/>
      <w:lvlJc w:val="left"/>
      <w:pPr>
        <w:ind w:left="2880" w:hanging="360"/>
      </w:pPr>
      <w:rPr>
        <w:rFonts w:ascii="Symbol" w:hAnsi="Symbol" w:hint="default"/>
      </w:rPr>
    </w:lvl>
    <w:lvl w:ilvl="4" w:tplc="D0E219C4">
      <w:start w:val="1"/>
      <w:numFmt w:val="bullet"/>
      <w:lvlText w:val="o"/>
      <w:lvlJc w:val="left"/>
      <w:pPr>
        <w:ind w:left="3600" w:hanging="360"/>
      </w:pPr>
      <w:rPr>
        <w:rFonts w:ascii="Courier New" w:hAnsi="Courier New" w:hint="default"/>
      </w:rPr>
    </w:lvl>
    <w:lvl w:ilvl="5" w:tplc="F356E22C">
      <w:start w:val="1"/>
      <w:numFmt w:val="bullet"/>
      <w:lvlText w:val=""/>
      <w:lvlJc w:val="left"/>
      <w:pPr>
        <w:ind w:left="4320" w:hanging="360"/>
      </w:pPr>
      <w:rPr>
        <w:rFonts w:ascii="Wingdings" w:hAnsi="Wingdings" w:hint="default"/>
      </w:rPr>
    </w:lvl>
    <w:lvl w:ilvl="6" w:tplc="452406AC">
      <w:start w:val="1"/>
      <w:numFmt w:val="bullet"/>
      <w:lvlText w:val=""/>
      <w:lvlJc w:val="left"/>
      <w:pPr>
        <w:ind w:left="5040" w:hanging="360"/>
      </w:pPr>
      <w:rPr>
        <w:rFonts w:ascii="Symbol" w:hAnsi="Symbol" w:hint="default"/>
      </w:rPr>
    </w:lvl>
    <w:lvl w:ilvl="7" w:tplc="77160510">
      <w:start w:val="1"/>
      <w:numFmt w:val="bullet"/>
      <w:lvlText w:val="o"/>
      <w:lvlJc w:val="left"/>
      <w:pPr>
        <w:ind w:left="5760" w:hanging="360"/>
      </w:pPr>
      <w:rPr>
        <w:rFonts w:ascii="Courier New" w:hAnsi="Courier New" w:hint="default"/>
      </w:rPr>
    </w:lvl>
    <w:lvl w:ilvl="8" w:tplc="B3B2421E">
      <w:start w:val="1"/>
      <w:numFmt w:val="bullet"/>
      <w:lvlText w:val=""/>
      <w:lvlJc w:val="left"/>
      <w:pPr>
        <w:ind w:left="6480" w:hanging="360"/>
      </w:pPr>
      <w:rPr>
        <w:rFonts w:ascii="Wingdings" w:hAnsi="Wingdings" w:hint="default"/>
      </w:rPr>
    </w:lvl>
  </w:abstractNum>
  <w:abstractNum w:abstractNumId="4" w15:restartNumberingAfterBreak="0">
    <w:nsid w:val="3B781FBB"/>
    <w:multiLevelType w:val="hybridMultilevel"/>
    <w:tmpl w:val="FB28EFB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9EC1971"/>
    <w:multiLevelType w:val="hybridMultilevel"/>
    <w:tmpl w:val="56BA7B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068739A"/>
    <w:multiLevelType w:val="multilevel"/>
    <w:tmpl w:val="52A8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BAE0E2"/>
    <w:multiLevelType w:val="hybridMultilevel"/>
    <w:tmpl w:val="205EFAD6"/>
    <w:lvl w:ilvl="0" w:tplc="9F564032">
      <w:start w:val="1"/>
      <w:numFmt w:val="bullet"/>
      <w:lvlText w:val=""/>
      <w:lvlJc w:val="left"/>
      <w:pPr>
        <w:ind w:left="720" w:hanging="360"/>
      </w:pPr>
      <w:rPr>
        <w:rFonts w:ascii="Symbol" w:hAnsi="Symbol" w:hint="default"/>
      </w:rPr>
    </w:lvl>
    <w:lvl w:ilvl="1" w:tplc="1D4E954A">
      <w:start w:val="1"/>
      <w:numFmt w:val="bullet"/>
      <w:lvlText w:val="o"/>
      <w:lvlJc w:val="left"/>
      <w:pPr>
        <w:ind w:left="1440" w:hanging="360"/>
      </w:pPr>
      <w:rPr>
        <w:rFonts w:ascii="Courier New" w:hAnsi="Courier New" w:hint="default"/>
      </w:rPr>
    </w:lvl>
    <w:lvl w:ilvl="2" w:tplc="DFBE0702">
      <w:start w:val="1"/>
      <w:numFmt w:val="bullet"/>
      <w:lvlText w:val=""/>
      <w:lvlJc w:val="left"/>
      <w:pPr>
        <w:ind w:left="2160" w:hanging="360"/>
      </w:pPr>
      <w:rPr>
        <w:rFonts w:ascii="Wingdings" w:hAnsi="Wingdings" w:hint="default"/>
      </w:rPr>
    </w:lvl>
    <w:lvl w:ilvl="3" w:tplc="3CAABEA0">
      <w:start w:val="1"/>
      <w:numFmt w:val="bullet"/>
      <w:lvlText w:val=""/>
      <w:lvlJc w:val="left"/>
      <w:pPr>
        <w:ind w:left="2880" w:hanging="360"/>
      </w:pPr>
      <w:rPr>
        <w:rFonts w:ascii="Symbol" w:hAnsi="Symbol" w:hint="default"/>
      </w:rPr>
    </w:lvl>
    <w:lvl w:ilvl="4" w:tplc="AAC00B62">
      <w:start w:val="1"/>
      <w:numFmt w:val="bullet"/>
      <w:lvlText w:val="o"/>
      <w:lvlJc w:val="left"/>
      <w:pPr>
        <w:ind w:left="3600" w:hanging="360"/>
      </w:pPr>
      <w:rPr>
        <w:rFonts w:ascii="Courier New" w:hAnsi="Courier New" w:hint="default"/>
      </w:rPr>
    </w:lvl>
    <w:lvl w:ilvl="5" w:tplc="F018818A">
      <w:start w:val="1"/>
      <w:numFmt w:val="bullet"/>
      <w:lvlText w:val=""/>
      <w:lvlJc w:val="left"/>
      <w:pPr>
        <w:ind w:left="4320" w:hanging="360"/>
      </w:pPr>
      <w:rPr>
        <w:rFonts w:ascii="Wingdings" w:hAnsi="Wingdings" w:hint="default"/>
      </w:rPr>
    </w:lvl>
    <w:lvl w:ilvl="6" w:tplc="2E40B7A8">
      <w:start w:val="1"/>
      <w:numFmt w:val="bullet"/>
      <w:lvlText w:val=""/>
      <w:lvlJc w:val="left"/>
      <w:pPr>
        <w:ind w:left="5040" w:hanging="360"/>
      </w:pPr>
      <w:rPr>
        <w:rFonts w:ascii="Symbol" w:hAnsi="Symbol" w:hint="default"/>
      </w:rPr>
    </w:lvl>
    <w:lvl w:ilvl="7" w:tplc="22FEABE4">
      <w:start w:val="1"/>
      <w:numFmt w:val="bullet"/>
      <w:lvlText w:val="o"/>
      <w:lvlJc w:val="left"/>
      <w:pPr>
        <w:ind w:left="5760" w:hanging="360"/>
      </w:pPr>
      <w:rPr>
        <w:rFonts w:ascii="Courier New" w:hAnsi="Courier New" w:hint="default"/>
      </w:rPr>
    </w:lvl>
    <w:lvl w:ilvl="8" w:tplc="DA860962">
      <w:start w:val="1"/>
      <w:numFmt w:val="bullet"/>
      <w:lvlText w:val=""/>
      <w:lvlJc w:val="left"/>
      <w:pPr>
        <w:ind w:left="6480" w:hanging="360"/>
      </w:pPr>
      <w:rPr>
        <w:rFonts w:ascii="Wingdings" w:hAnsi="Wingdings" w:hint="default"/>
      </w:rPr>
    </w:lvl>
  </w:abstractNum>
  <w:abstractNum w:abstractNumId="8" w15:restartNumberingAfterBreak="0">
    <w:nsid w:val="59DFC805"/>
    <w:multiLevelType w:val="hybridMultilevel"/>
    <w:tmpl w:val="E926E1F2"/>
    <w:lvl w:ilvl="0" w:tplc="B2D044BC">
      <w:start w:val="1"/>
      <w:numFmt w:val="decimal"/>
      <w:lvlText w:val="%1."/>
      <w:lvlJc w:val="left"/>
      <w:pPr>
        <w:ind w:left="720" w:hanging="360"/>
      </w:pPr>
    </w:lvl>
    <w:lvl w:ilvl="1" w:tplc="4CACE500">
      <w:start w:val="1"/>
      <w:numFmt w:val="lowerLetter"/>
      <w:lvlText w:val="%2."/>
      <w:lvlJc w:val="left"/>
      <w:pPr>
        <w:ind w:left="1440" w:hanging="360"/>
      </w:pPr>
    </w:lvl>
    <w:lvl w:ilvl="2" w:tplc="B61036AE">
      <w:start w:val="1"/>
      <w:numFmt w:val="lowerRoman"/>
      <w:lvlText w:val="%3."/>
      <w:lvlJc w:val="right"/>
      <w:pPr>
        <w:ind w:left="2160" w:hanging="180"/>
      </w:pPr>
    </w:lvl>
    <w:lvl w:ilvl="3" w:tplc="113CAF7E">
      <w:start w:val="1"/>
      <w:numFmt w:val="decimal"/>
      <w:lvlText w:val="%4."/>
      <w:lvlJc w:val="left"/>
      <w:pPr>
        <w:ind w:left="2880" w:hanging="360"/>
      </w:pPr>
    </w:lvl>
    <w:lvl w:ilvl="4" w:tplc="0CFEAD52">
      <w:start w:val="1"/>
      <w:numFmt w:val="lowerLetter"/>
      <w:lvlText w:val="%5."/>
      <w:lvlJc w:val="left"/>
      <w:pPr>
        <w:ind w:left="3600" w:hanging="360"/>
      </w:pPr>
    </w:lvl>
    <w:lvl w:ilvl="5" w:tplc="C9623490">
      <w:start w:val="1"/>
      <w:numFmt w:val="lowerRoman"/>
      <w:lvlText w:val="%6."/>
      <w:lvlJc w:val="right"/>
      <w:pPr>
        <w:ind w:left="4320" w:hanging="180"/>
      </w:pPr>
    </w:lvl>
    <w:lvl w:ilvl="6" w:tplc="F8CE8398">
      <w:start w:val="1"/>
      <w:numFmt w:val="decimal"/>
      <w:lvlText w:val="%7."/>
      <w:lvlJc w:val="left"/>
      <w:pPr>
        <w:ind w:left="5040" w:hanging="360"/>
      </w:pPr>
    </w:lvl>
    <w:lvl w:ilvl="7" w:tplc="E98C45A4">
      <w:start w:val="1"/>
      <w:numFmt w:val="lowerLetter"/>
      <w:lvlText w:val="%8."/>
      <w:lvlJc w:val="left"/>
      <w:pPr>
        <w:ind w:left="5760" w:hanging="360"/>
      </w:pPr>
    </w:lvl>
    <w:lvl w:ilvl="8" w:tplc="3816296E">
      <w:start w:val="1"/>
      <w:numFmt w:val="lowerRoman"/>
      <w:lvlText w:val="%9."/>
      <w:lvlJc w:val="right"/>
      <w:pPr>
        <w:ind w:left="6480" w:hanging="180"/>
      </w:pPr>
    </w:lvl>
  </w:abstractNum>
  <w:abstractNum w:abstractNumId="9" w15:restartNumberingAfterBreak="0">
    <w:nsid w:val="639E6931"/>
    <w:multiLevelType w:val="multilevel"/>
    <w:tmpl w:val="8134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3615F0"/>
    <w:multiLevelType w:val="hybridMultilevel"/>
    <w:tmpl w:val="E34A0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946423D"/>
    <w:multiLevelType w:val="multilevel"/>
    <w:tmpl w:val="A26A3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671644">
    <w:abstractNumId w:val="3"/>
  </w:num>
  <w:num w:numId="2" w16cid:durableId="2078093443">
    <w:abstractNumId w:val="7"/>
  </w:num>
  <w:num w:numId="3" w16cid:durableId="317459419">
    <w:abstractNumId w:val="8"/>
  </w:num>
  <w:num w:numId="4" w16cid:durableId="1221483016">
    <w:abstractNumId w:val="0"/>
  </w:num>
  <w:num w:numId="5" w16cid:durableId="434401403">
    <w:abstractNumId w:val="1"/>
  </w:num>
  <w:num w:numId="6" w16cid:durableId="233130231">
    <w:abstractNumId w:val="6"/>
  </w:num>
  <w:num w:numId="7" w16cid:durableId="577519103">
    <w:abstractNumId w:val="9"/>
  </w:num>
  <w:num w:numId="8" w16cid:durableId="138690607">
    <w:abstractNumId w:val="2"/>
  </w:num>
  <w:num w:numId="9" w16cid:durableId="1694114777">
    <w:abstractNumId w:val="11"/>
  </w:num>
  <w:num w:numId="10" w16cid:durableId="142819720">
    <w:abstractNumId w:val="5"/>
  </w:num>
  <w:num w:numId="11" w16cid:durableId="120389717">
    <w:abstractNumId w:val="4"/>
  </w:num>
  <w:num w:numId="12" w16cid:durableId="1336493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35A91"/>
    <w:rsid w:val="000D0814"/>
    <w:rsid w:val="0048610E"/>
    <w:rsid w:val="008B61C0"/>
    <w:rsid w:val="00A00D01"/>
    <w:rsid w:val="00B6300E"/>
    <w:rsid w:val="00EE2458"/>
    <w:rsid w:val="02575793"/>
    <w:rsid w:val="028633D9"/>
    <w:rsid w:val="029C20C5"/>
    <w:rsid w:val="04277651"/>
    <w:rsid w:val="043DE039"/>
    <w:rsid w:val="05D9682B"/>
    <w:rsid w:val="07051F2F"/>
    <w:rsid w:val="07FBBF41"/>
    <w:rsid w:val="08C60DE1"/>
    <w:rsid w:val="092A6B09"/>
    <w:rsid w:val="09F59747"/>
    <w:rsid w:val="0DA455B0"/>
    <w:rsid w:val="0E2C1324"/>
    <w:rsid w:val="0E2EBF36"/>
    <w:rsid w:val="0F4B630D"/>
    <w:rsid w:val="11EA0448"/>
    <w:rsid w:val="12135B49"/>
    <w:rsid w:val="1238EFC7"/>
    <w:rsid w:val="12AC8425"/>
    <w:rsid w:val="12ED7E8C"/>
    <w:rsid w:val="12F10001"/>
    <w:rsid w:val="135432CB"/>
    <w:rsid w:val="14671AA2"/>
    <w:rsid w:val="149C9962"/>
    <w:rsid w:val="15FAF50F"/>
    <w:rsid w:val="1700281D"/>
    <w:rsid w:val="191DEF71"/>
    <w:rsid w:val="1B411178"/>
    <w:rsid w:val="1F65CE87"/>
    <w:rsid w:val="2010F8E6"/>
    <w:rsid w:val="203C6BF3"/>
    <w:rsid w:val="208A5413"/>
    <w:rsid w:val="22243D5A"/>
    <w:rsid w:val="234A9D38"/>
    <w:rsid w:val="25E3B94D"/>
    <w:rsid w:val="27D19F43"/>
    <w:rsid w:val="27D3C88E"/>
    <w:rsid w:val="2B035140"/>
    <w:rsid w:val="2B4D33E7"/>
    <w:rsid w:val="2DFBE109"/>
    <w:rsid w:val="2E79B607"/>
    <w:rsid w:val="2F52DC46"/>
    <w:rsid w:val="2F590FEA"/>
    <w:rsid w:val="2FB8056D"/>
    <w:rsid w:val="30758091"/>
    <w:rsid w:val="314B159C"/>
    <w:rsid w:val="322039A1"/>
    <w:rsid w:val="326DDA1D"/>
    <w:rsid w:val="34A48EBE"/>
    <w:rsid w:val="3599E281"/>
    <w:rsid w:val="38D067BE"/>
    <w:rsid w:val="3A08AE05"/>
    <w:rsid w:val="3C71BF4E"/>
    <w:rsid w:val="3E42C5A2"/>
    <w:rsid w:val="3E900F54"/>
    <w:rsid w:val="3F0C6768"/>
    <w:rsid w:val="3F27D705"/>
    <w:rsid w:val="4098CC20"/>
    <w:rsid w:val="416F43CE"/>
    <w:rsid w:val="44C83845"/>
    <w:rsid w:val="44CF0029"/>
    <w:rsid w:val="47F6ACC6"/>
    <w:rsid w:val="4D8331E9"/>
    <w:rsid w:val="4E9394FA"/>
    <w:rsid w:val="4F49F7F6"/>
    <w:rsid w:val="56A8F774"/>
    <w:rsid w:val="5AF35A91"/>
    <w:rsid w:val="5D714153"/>
    <w:rsid w:val="5EDF88DF"/>
    <w:rsid w:val="5F1B5BD2"/>
    <w:rsid w:val="60275F20"/>
    <w:rsid w:val="611430BD"/>
    <w:rsid w:val="61775A0C"/>
    <w:rsid w:val="620BC7E3"/>
    <w:rsid w:val="621958D8"/>
    <w:rsid w:val="63750A61"/>
    <w:rsid w:val="63D5EB22"/>
    <w:rsid w:val="663EA7A8"/>
    <w:rsid w:val="664A3B66"/>
    <w:rsid w:val="66BA4B53"/>
    <w:rsid w:val="671D176A"/>
    <w:rsid w:val="676EE902"/>
    <w:rsid w:val="68C3BFFA"/>
    <w:rsid w:val="68F9EA85"/>
    <w:rsid w:val="693AD425"/>
    <w:rsid w:val="69C409D1"/>
    <w:rsid w:val="6A91E915"/>
    <w:rsid w:val="6B2A584D"/>
    <w:rsid w:val="6B479BF9"/>
    <w:rsid w:val="6CA9E215"/>
    <w:rsid w:val="6FFDA25A"/>
    <w:rsid w:val="712ADA5B"/>
    <w:rsid w:val="718A6106"/>
    <w:rsid w:val="71D5C45C"/>
    <w:rsid w:val="73707F31"/>
    <w:rsid w:val="73E7A56B"/>
    <w:rsid w:val="779A79F4"/>
    <w:rsid w:val="78C28160"/>
    <w:rsid w:val="7AD1E659"/>
    <w:rsid w:val="7AEFFDB3"/>
    <w:rsid w:val="7C47440E"/>
    <w:rsid w:val="7D43766F"/>
    <w:rsid w:val="7D7981F1"/>
    <w:rsid w:val="7F201B3E"/>
    <w:rsid w:val="7F47E9FF"/>
    <w:rsid w:val="7F4F4624"/>
    <w:rsid w:val="7FF557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AD4A"/>
  <w15:chartTrackingRefBased/>
  <w15:docId w15:val="{8BCD7061-80E7-4CFA-913B-694096BA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paragraph" w:styleId="Prrafodelista">
    <w:name w:val="List Paragraph"/>
    <w:basedOn w:val="Normal"/>
    <w:uiPriority w:val="34"/>
    <w:qFormat/>
    <w:pPr>
      <w:ind w:left="720"/>
      <w:contextualSpacing/>
    </w:pPr>
  </w:style>
  <w:style w:type="paragraph" w:styleId="Encabezado">
    <w:name w:val="header"/>
    <w:basedOn w:val="Normal"/>
    <w:uiPriority w:val="99"/>
    <w:unhideWhenUsed/>
    <w:rsid w:val="6B2A584D"/>
    <w:pPr>
      <w:tabs>
        <w:tab w:val="center" w:pos="4680"/>
        <w:tab w:val="right" w:pos="9360"/>
      </w:tabs>
      <w:spacing w:after="0" w:line="240" w:lineRule="auto"/>
    </w:pPr>
  </w:style>
  <w:style w:type="paragraph" w:styleId="Piedepgina">
    <w:name w:val="footer"/>
    <w:basedOn w:val="Normal"/>
    <w:uiPriority w:val="99"/>
    <w:unhideWhenUsed/>
    <w:rsid w:val="6B2A584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5AB70F13-9E7E-404B-A45D-4772A93F7E38}"/>
</file>

<file path=customXml/itemProps2.xml><?xml version="1.0" encoding="utf-8"?>
<ds:datastoreItem xmlns:ds="http://schemas.openxmlformats.org/officeDocument/2006/customXml" ds:itemID="{716E1841-3CA8-4EEC-BCDA-BC7D4A39DCEF}">
  <ds:schemaRefs>
    <ds:schemaRef ds:uri="http://schemas.microsoft.com/sharepoint/v3/contenttype/forms"/>
  </ds:schemaRefs>
</ds:datastoreItem>
</file>

<file path=customXml/itemProps3.xml><?xml version="1.0" encoding="utf-8"?>
<ds:datastoreItem xmlns:ds="http://schemas.openxmlformats.org/officeDocument/2006/customXml" ds:itemID="{16258E2C-9BC2-4F5D-91D4-E99BB9C0F7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2010</Words>
  <Characters>10918</Characters>
  <Application>Microsoft Office Word</Application>
  <DocSecurity>0</DocSecurity>
  <Lines>839</Lines>
  <Paragraphs>807</Paragraphs>
  <ScaleCrop>false</ScaleCrop>
  <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SANCHEZ SALAZAR</dc:creator>
  <cp:keywords/>
  <dc:description/>
  <cp:lastModifiedBy>JUAN CAMILO SANCHEZ SALAZAR</cp:lastModifiedBy>
  <cp:revision>3</cp:revision>
  <dcterms:created xsi:type="dcterms:W3CDTF">2026-04-23T14:37:00Z</dcterms:created>
  <dcterms:modified xsi:type="dcterms:W3CDTF">2026-06-20T02:32:00Z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